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0" w:lineRule="atLeast"/>
        <w:jc w:val="left"/>
        <w:rPr>
          <w:rFonts w:hint="eastAsia" w:ascii="宋体" w:hAnsi="宋体" w:eastAsia="宋体" w:cs="宋体"/>
          <w:b w:val="0"/>
          <w:bCs w:val="0"/>
          <w:color w:val="auto"/>
          <w:sz w:val="36"/>
          <w:szCs w:val="36"/>
          <w:lang w:eastAsia="zh-CN"/>
        </w:rPr>
      </w:pPr>
      <w:r>
        <w:rPr>
          <w:rFonts w:hint="eastAsia" w:ascii="宋体" w:hAnsi="宋体" w:eastAsia="宋体" w:cs="宋体"/>
          <w:b w:val="0"/>
          <w:bCs w:val="0"/>
          <w:color w:val="auto"/>
          <w:sz w:val="36"/>
          <w:szCs w:val="36"/>
          <w:lang w:eastAsia="zh-CN"/>
        </w:rPr>
        <w:t>附：</w:t>
      </w:r>
    </w:p>
    <w:p>
      <w:pPr>
        <w:spacing w:before="312" w:beforeLines="100" w:after="312" w:afterLines="100" w:line="0" w:lineRule="atLeast"/>
        <w:jc w:val="center"/>
        <w:rPr>
          <w:rFonts w:hint="eastAsia" w:ascii="宋体" w:hAnsi="宋体" w:eastAsia="宋体" w:cs="宋体"/>
          <w:b/>
          <w:bCs/>
          <w:color w:val="auto"/>
          <w:sz w:val="36"/>
          <w:szCs w:val="36"/>
          <w:lang w:eastAsia="zh-CN"/>
        </w:rPr>
      </w:pPr>
      <w:r>
        <w:rPr>
          <w:rFonts w:hint="eastAsia" w:ascii="宋体" w:hAnsi="宋体" w:eastAsia="宋体" w:cs="宋体"/>
          <w:b/>
          <w:bCs/>
          <w:color w:val="auto"/>
          <w:sz w:val="36"/>
          <w:szCs w:val="36"/>
        </w:rPr>
        <w:t>建设工程绿色建造水平评价实施细则</w:t>
      </w:r>
      <w:r>
        <w:rPr>
          <w:rFonts w:hint="eastAsia" w:ascii="宋体" w:hAnsi="宋体" w:eastAsia="宋体" w:cs="宋体"/>
          <w:b/>
          <w:bCs/>
          <w:color w:val="auto"/>
          <w:sz w:val="36"/>
          <w:szCs w:val="36"/>
          <w:lang w:eastAsia="zh-CN"/>
        </w:rPr>
        <w:t>（试行）</w:t>
      </w:r>
    </w:p>
    <w:p>
      <w:pPr>
        <w:spacing w:line="580" w:lineRule="exact"/>
        <w:jc w:val="center"/>
        <w:rPr>
          <w:rFonts w:ascii="黑体" w:hAnsi="黑体" w:eastAsia="黑体" w:cs="黑体"/>
          <w:bCs/>
          <w:color w:val="auto"/>
          <w:sz w:val="32"/>
          <w:szCs w:val="32"/>
        </w:rPr>
      </w:pPr>
      <w:r>
        <w:rPr>
          <w:rFonts w:hint="eastAsia" w:ascii="黑体" w:hAnsi="黑体" w:eastAsia="黑体" w:cs="黑体"/>
          <w:bCs/>
          <w:color w:val="auto"/>
          <w:sz w:val="32"/>
          <w:szCs w:val="32"/>
        </w:rPr>
        <w:t xml:space="preserve">第一章 </w:t>
      </w:r>
      <w:r>
        <w:rPr>
          <w:rFonts w:hint="eastAsia" w:ascii="黑体" w:hAnsi="黑体" w:eastAsia="黑体" w:cs="黑体"/>
          <w:bCs/>
          <w:color w:val="auto"/>
          <w:sz w:val="32"/>
          <w:szCs w:val="32"/>
          <w:lang w:val="en-US" w:eastAsia="zh-CN"/>
        </w:rPr>
        <w:t xml:space="preserve">  </w:t>
      </w:r>
      <w:r>
        <w:rPr>
          <w:rFonts w:hint="eastAsia" w:ascii="黑体" w:hAnsi="黑体" w:eastAsia="黑体" w:cs="黑体"/>
          <w:bCs/>
          <w:color w:val="auto"/>
          <w:sz w:val="32"/>
          <w:szCs w:val="32"/>
        </w:rPr>
        <w:t>总</w:t>
      </w:r>
      <w:r>
        <w:rPr>
          <w:rFonts w:hint="eastAsia" w:ascii="黑体" w:hAnsi="黑体" w:eastAsia="黑体" w:cs="黑体"/>
          <w:bCs/>
          <w:color w:val="auto"/>
          <w:sz w:val="32"/>
          <w:szCs w:val="32"/>
          <w:lang w:val="en-US" w:eastAsia="zh-CN"/>
        </w:rPr>
        <w:t xml:space="preserve"> </w:t>
      </w:r>
      <w:r>
        <w:rPr>
          <w:rFonts w:hint="eastAsia" w:ascii="黑体" w:hAnsi="黑体" w:eastAsia="黑体" w:cs="黑体"/>
          <w:bCs/>
          <w:color w:val="auto"/>
          <w:sz w:val="32"/>
          <w:szCs w:val="32"/>
        </w:rPr>
        <w:t>则</w:t>
      </w:r>
    </w:p>
    <w:p>
      <w:pPr>
        <w:keepNext w:val="0"/>
        <w:keepLines w:val="0"/>
        <w:pageBreakBefore w:val="0"/>
        <w:widowControl w:val="0"/>
        <w:kinsoku/>
        <w:wordWrap/>
        <w:overflowPunct/>
        <w:topLinePunct w:val="0"/>
        <w:bidi w:val="0"/>
        <w:snapToGrid/>
        <w:spacing w:line="580" w:lineRule="exact"/>
        <w:ind w:firstLine="640" w:firstLineChars="200"/>
        <w:jc w:val="both"/>
        <w:textAlignment w:val="auto"/>
        <w:rPr>
          <w:rFonts w:hint="eastAsia" w:ascii="仿宋_GB2312" w:hAnsi="仿宋" w:eastAsia="仿宋_GB2312" w:cs="Times New Roman"/>
          <w:color w:val="auto"/>
          <w:sz w:val="32"/>
          <w:szCs w:val="32"/>
        </w:rPr>
      </w:pPr>
      <w:r>
        <w:rPr>
          <w:rFonts w:hint="eastAsia" w:ascii="黑体" w:hAnsi="黑体" w:eastAsia="黑体" w:cs="黑体"/>
          <w:bCs/>
          <w:color w:val="auto"/>
          <w:sz w:val="32"/>
          <w:szCs w:val="32"/>
        </w:rPr>
        <w:t>第一条</w:t>
      </w:r>
      <w:r>
        <w:rPr>
          <w:rFonts w:hint="eastAsia" w:ascii="仿宋_GB2312" w:hAnsi="仿宋" w:eastAsia="仿宋_GB2312" w:cs="Times New Roman"/>
          <w:color w:val="auto"/>
          <w:sz w:val="32"/>
          <w:szCs w:val="32"/>
        </w:rPr>
        <w:t xml:space="preserve"> 为贯彻落实国家</w:t>
      </w:r>
      <w:r>
        <w:rPr>
          <w:rFonts w:hint="eastAsia" w:ascii="仿宋_GB2312" w:hAnsi="仿宋" w:eastAsia="仿宋_GB2312" w:cs="Times New Roman"/>
          <w:color w:val="auto"/>
          <w:sz w:val="32"/>
          <w:szCs w:val="32"/>
          <w:lang w:eastAsia="zh-CN"/>
        </w:rPr>
        <w:t>关于</w:t>
      </w:r>
      <w:r>
        <w:rPr>
          <w:rFonts w:hint="eastAsia" w:ascii="仿宋_GB2312" w:hAnsi="仿宋" w:eastAsia="仿宋_GB2312" w:cs="Times New Roman"/>
          <w:color w:val="auto"/>
          <w:sz w:val="32"/>
          <w:szCs w:val="32"/>
        </w:rPr>
        <w:t>绿色发展</w:t>
      </w:r>
      <w:r>
        <w:rPr>
          <w:rFonts w:hint="eastAsia" w:ascii="仿宋_GB2312" w:hAnsi="仿宋" w:eastAsia="仿宋_GB2312" w:cs="Times New Roman"/>
          <w:color w:val="auto"/>
          <w:sz w:val="32"/>
          <w:szCs w:val="32"/>
          <w:lang w:eastAsia="zh-CN"/>
        </w:rPr>
        <w:t>和</w:t>
      </w:r>
      <w:r>
        <w:rPr>
          <w:rFonts w:hint="eastAsia" w:ascii="仿宋_GB2312" w:hAnsi="仿宋" w:eastAsia="仿宋_GB2312" w:cs="Times New Roman"/>
          <w:color w:val="auto"/>
          <w:sz w:val="32"/>
          <w:szCs w:val="32"/>
        </w:rPr>
        <w:t>可持续发展战略，推进</w:t>
      </w:r>
      <w:r>
        <w:rPr>
          <w:rFonts w:hint="eastAsia" w:ascii="仿宋_GB2312" w:hAnsi="仿宋" w:eastAsia="仿宋_GB2312" w:cs="Times New Roman"/>
          <w:color w:val="auto"/>
          <w:sz w:val="32"/>
          <w:szCs w:val="32"/>
          <w:lang w:eastAsia="zh-CN"/>
        </w:rPr>
        <w:t>建设工程</w:t>
      </w:r>
      <w:r>
        <w:rPr>
          <w:rFonts w:hint="eastAsia" w:ascii="仿宋_GB2312" w:hAnsi="仿宋" w:eastAsia="仿宋_GB2312" w:cs="Times New Roman"/>
          <w:color w:val="auto"/>
          <w:sz w:val="32"/>
          <w:szCs w:val="32"/>
        </w:rPr>
        <w:t>全生命周期绿色建造</w:t>
      </w:r>
      <w:r>
        <w:rPr>
          <w:rFonts w:hint="eastAsia" w:ascii="仿宋_GB2312" w:hAnsi="仿宋" w:eastAsia="仿宋_GB2312" w:cs="Times New Roman"/>
          <w:color w:val="auto"/>
          <w:sz w:val="32"/>
          <w:szCs w:val="32"/>
          <w:lang w:eastAsia="zh-CN"/>
        </w:rPr>
        <w:t>工作</w:t>
      </w:r>
      <w:r>
        <w:rPr>
          <w:rFonts w:hint="eastAsia" w:ascii="仿宋_GB2312" w:hAnsi="仿宋" w:eastAsia="仿宋_GB2312" w:cs="Times New Roman"/>
          <w:color w:val="auto"/>
          <w:sz w:val="32"/>
          <w:szCs w:val="32"/>
        </w:rPr>
        <w:t>，依据《绿色建造技术导则（试行）》</w:t>
      </w:r>
      <w:r>
        <w:rPr>
          <w:rFonts w:hint="eastAsia" w:ascii="仿宋_GB2312" w:hAnsi="仿宋" w:eastAsia="仿宋_GB2312" w:cs="Times New Roman"/>
          <w:color w:val="auto"/>
          <w:sz w:val="32"/>
          <w:szCs w:val="32"/>
          <w:lang w:eastAsia="zh-CN"/>
        </w:rPr>
        <w:t>、中建协和中施企协关于绿色建造竞赛（评价）办法及</w:t>
      </w:r>
      <w:r>
        <w:rPr>
          <w:rFonts w:hint="eastAsia" w:ascii="仿宋_GB2312" w:hAnsi="仿宋" w:eastAsia="仿宋_GB2312" w:cs="Times New Roman"/>
          <w:color w:val="auto"/>
          <w:sz w:val="32"/>
          <w:szCs w:val="32"/>
        </w:rPr>
        <w:t>《建设工程绿色建造施工水平评价办法（试行）》</w:t>
      </w:r>
      <w:r>
        <w:rPr>
          <w:rFonts w:hint="eastAsia" w:ascii="仿宋_GB2312" w:hAnsi="仿宋" w:eastAsia="仿宋_GB2312" w:cs="Times New Roman"/>
          <w:color w:val="auto"/>
          <w:sz w:val="32"/>
          <w:szCs w:val="32"/>
          <w:lang w:eastAsia="zh-CN"/>
        </w:rPr>
        <w:t>相关要求，</w:t>
      </w:r>
      <w:r>
        <w:rPr>
          <w:rFonts w:hint="eastAsia" w:ascii="仿宋_GB2312" w:hAnsi="仿宋" w:eastAsia="仿宋_GB2312" w:cs="Times New Roman"/>
          <w:color w:val="auto"/>
          <w:sz w:val="32"/>
          <w:szCs w:val="32"/>
        </w:rPr>
        <w:t>制定本</w:t>
      </w:r>
      <w:r>
        <w:rPr>
          <w:rFonts w:hint="eastAsia" w:ascii="仿宋_GB2312" w:hAnsi="仿宋" w:eastAsia="仿宋_GB2312" w:cs="Times New Roman"/>
          <w:color w:val="auto"/>
          <w:sz w:val="32"/>
          <w:szCs w:val="32"/>
          <w:lang w:eastAsia="zh-CN"/>
        </w:rPr>
        <w:t>实施</w:t>
      </w:r>
      <w:r>
        <w:rPr>
          <w:rFonts w:hint="eastAsia" w:ascii="仿宋_GB2312" w:hAnsi="仿宋" w:eastAsia="仿宋_GB2312" w:cs="Times New Roman"/>
          <w:color w:val="auto"/>
          <w:sz w:val="32"/>
          <w:szCs w:val="32"/>
        </w:rPr>
        <w:t>细则。</w:t>
      </w:r>
    </w:p>
    <w:p>
      <w:pPr>
        <w:pStyle w:val="2"/>
        <w:keepNext w:val="0"/>
        <w:keepLines w:val="0"/>
        <w:pageBreakBefore w:val="0"/>
        <w:widowControl w:val="0"/>
        <w:kinsoku/>
        <w:wordWrap/>
        <w:overflowPunct/>
        <w:topLinePunct w:val="0"/>
        <w:bidi w:val="0"/>
        <w:snapToGrid/>
        <w:jc w:val="both"/>
        <w:textAlignment w:val="auto"/>
        <w:rPr>
          <w:rFonts w:hint="eastAsia" w:ascii="仿宋" w:hAnsi="仿宋" w:eastAsia="仿宋" w:cs="宋体"/>
          <w:color w:val="auto"/>
          <w:sz w:val="32"/>
          <w:szCs w:val="32"/>
        </w:rPr>
      </w:pPr>
      <w:r>
        <w:rPr>
          <w:rFonts w:hint="eastAsia" w:ascii="仿宋_GB2312" w:hAnsi="仿宋" w:eastAsia="仿宋_GB2312" w:cs="Times New Roman"/>
          <w:color w:val="auto"/>
          <w:sz w:val="32"/>
          <w:szCs w:val="32"/>
          <w:lang w:val="en-US" w:eastAsia="zh-CN"/>
        </w:rPr>
        <w:t xml:space="preserve">    </w:t>
      </w:r>
      <w:r>
        <w:rPr>
          <w:rFonts w:hint="eastAsia" w:ascii="黑体" w:hAnsi="黑体" w:eastAsia="黑体" w:cs="黑体"/>
          <w:bCs/>
          <w:color w:val="auto"/>
          <w:sz w:val="32"/>
          <w:szCs w:val="32"/>
        </w:rPr>
        <w:t>第一条</w:t>
      </w:r>
      <w:r>
        <w:rPr>
          <w:rFonts w:hint="eastAsia" w:hAnsi="黑体" w:cs="黑体"/>
          <w:bCs/>
          <w:color w:val="auto"/>
          <w:sz w:val="32"/>
          <w:szCs w:val="32"/>
          <w:lang w:val="en-US" w:eastAsia="zh-CN"/>
        </w:rPr>
        <w:t xml:space="preserve"> </w:t>
      </w:r>
      <w:r>
        <w:rPr>
          <w:rFonts w:hint="eastAsia" w:ascii="仿宋_GB2312" w:hAnsi="仿宋" w:eastAsia="仿宋_GB2312" w:cs="Times New Roman"/>
          <w:color w:val="auto"/>
          <w:kern w:val="2"/>
          <w:sz w:val="32"/>
          <w:szCs w:val="32"/>
          <w:lang w:val="en-US" w:eastAsia="zh-CN" w:bidi="ar-SA"/>
        </w:rPr>
        <w:t>本细则适用于</w:t>
      </w:r>
      <w:r>
        <w:rPr>
          <w:rFonts w:hint="eastAsia" w:ascii="仿宋" w:hAnsi="仿宋" w:eastAsia="仿宋" w:cs="宋体"/>
          <w:color w:val="auto"/>
          <w:sz w:val="32"/>
          <w:szCs w:val="32"/>
          <w:lang w:eastAsia="zh-CN"/>
        </w:rPr>
        <w:t>省</w:t>
      </w:r>
      <w:r>
        <w:rPr>
          <w:rFonts w:hint="eastAsia" w:ascii="仿宋" w:hAnsi="仿宋" w:eastAsia="仿宋" w:cs="宋体"/>
          <w:color w:val="auto"/>
          <w:sz w:val="32"/>
          <w:szCs w:val="32"/>
        </w:rPr>
        <w:t>内施工的在建工程项目</w:t>
      </w:r>
      <w:r>
        <w:rPr>
          <w:rFonts w:hint="eastAsia" w:ascii="仿宋" w:hAnsi="仿宋" w:eastAsia="仿宋" w:cs="宋体"/>
          <w:color w:val="auto"/>
          <w:sz w:val="32"/>
          <w:szCs w:val="32"/>
          <w:lang w:eastAsia="zh-CN"/>
        </w:rPr>
        <w:t>或</w:t>
      </w:r>
      <w:r>
        <w:rPr>
          <w:rFonts w:hint="eastAsia" w:ascii="仿宋" w:hAnsi="仿宋" w:eastAsia="仿宋" w:cs="宋体"/>
          <w:color w:val="auto"/>
          <w:sz w:val="32"/>
          <w:szCs w:val="32"/>
        </w:rPr>
        <w:t>省</w:t>
      </w:r>
      <w:r>
        <w:rPr>
          <w:rFonts w:hint="eastAsia" w:ascii="仿宋" w:hAnsi="仿宋" w:eastAsia="仿宋" w:cs="宋体"/>
          <w:color w:val="auto"/>
          <w:sz w:val="32"/>
          <w:szCs w:val="32"/>
          <w:lang w:eastAsia="zh-CN"/>
        </w:rPr>
        <w:t>内</w:t>
      </w:r>
      <w:r>
        <w:rPr>
          <w:rFonts w:hint="eastAsia" w:ascii="仿宋" w:hAnsi="仿宋" w:eastAsia="仿宋" w:cs="宋体"/>
          <w:color w:val="auto"/>
          <w:sz w:val="32"/>
          <w:szCs w:val="32"/>
        </w:rPr>
        <w:t>施工企业在省</w:t>
      </w:r>
      <w:r>
        <w:rPr>
          <w:rFonts w:hint="eastAsia" w:ascii="仿宋" w:hAnsi="仿宋" w:eastAsia="仿宋" w:cs="宋体"/>
          <w:color w:val="auto"/>
          <w:sz w:val="32"/>
          <w:szCs w:val="32"/>
          <w:lang w:eastAsia="zh-CN"/>
        </w:rPr>
        <w:t>外</w:t>
      </w:r>
      <w:r>
        <w:rPr>
          <w:rFonts w:hint="eastAsia" w:ascii="仿宋" w:hAnsi="仿宋" w:eastAsia="仿宋" w:cs="宋体"/>
          <w:color w:val="auto"/>
          <w:sz w:val="32"/>
          <w:szCs w:val="32"/>
        </w:rPr>
        <w:t>施工的在建工程项目</w:t>
      </w:r>
      <w:r>
        <w:rPr>
          <w:rFonts w:hint="eastAsia" w:ascii="仿宋" w:hAnsi="仿宋" w:eastAsia="仿宋" w:cs="宋体"/>
          <w:color w:val="auto"/>
          <w:sz w:val="32"/>
          <w:szCs w:val="32"/>
          <w:lang w:eastAsia="zh-CN"/>
        </w:rPr>
        <w:t>绿色建造水平评价工作</w:t>
      </w:r>
      <w:r>
        <w:rPr>
          <w:rFonts w:hint="eastAsia" w:ascii="仿宋" w:hAnsi="仿宋" w:eastAsia="仿宋" w:cs="宋体"/>
          <w:color w:val="auto"/>
          <w:sz w:val="32"/>
          <w:szCs w:val="32"/>
        </w:rPr>
        <w:t>。</w:t>
      </w:r>
    </w:p>
    <w:p>
      <w:pPr>
        <w:spacing w:line="580" w:lineRule="exact"/>
        <w:jc w:val="center"/>
        <w:rPr>
          <w:rFonts w:ascii="黑体" w:hAnsi="黑体" w:eastAsia="黑体" w:cs="黑体"/>
          <w:bCs/>
          <w:color w:val="auto"/>
          <w:sz w:val="32"/>
          <w:szCs w:val="32"/>
        </w:rPr>
      </w:pPr>
      <w:r>
        <w:rPr>
          <w:rFonts w:hint="eastAsia" w:ascii="黑体" w:hAnsi="黑体" w:eastAsia="黑体" w:cs="黑体"/>
          <w:bCs/>
          <w:color w:val="auto"/>
          <w:sz w:val="32"/>
          <w:szCs w:val="32"/>
        </w:rPr>
        <w:t>第二章 评价范围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auto"/>
          <w:sz w:val="32"/>
          <w:szCs w:val="32"/>
        </w:rPr>
      </w:pPr>
      <w:r>
        <w:rPr>
          <w:rFonts w:hint="eastAsia" w:ascii="黑体" w:hAnsi="黑体" w:eastAsia="黑体" w:cs="黑体"/>
          <w:bCs/>
          <w:color w:val="auto"/>
          <w:sz w:val="32"/>
          <w:szCs w:val="32"/>
        </w:rPr>
        <w:t>第三条</w:t>
      </w:r>
      <w:r>
        <w:rPr>
          <w:rFonts w:hint="eastAsia" w:ascii="仿宋_GB2312" w:hAnsi="仿宋" w:eastAsia="仿宋_GB2312" w:cs="Times New Roman"/>
          <w:color w:val="auto"/>
          <w:sz w:val="32"/>
          <w:szCs w:val="32"/>
        </w:rPr>
        <w:t xml:space="preserve"> 绿色建造评价包括下列工程：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（一）建筑工程；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（二）公路交通工程；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 xml:space="preserve">（三）水利、电力工程；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（四）市政园林工程。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auto"/>
          <w:sz w:val="32"/>
          <w:szCs w:val="32"/>
        </w:rPr>
      </w:pPr>
      <w:r>
        <w:rPr>
          <w:rFonts w:hint="eastAsia" w:ascii="黑体" w:hAnsi="黑体" w:eastAsia="黑体" w:cs="黑体"/>
          <w:bCs/>
          <w:color w:val="auto"/>
          <w:sz w:val="32"/>
          <w:szCs w:val="32"/>
        </w:rPr>
        <w:t>第四条</w:t>
      </w:r>
      <w:r>
        <w:rPr>
          <w:rFonts w:hint="eastAsia" w:ascii="仿宋_GB2312" w:hAnsi="仿宋" w:eastAsia="仿宋_GB2312" w:cs="Times New Roman"/>
          <w:color w:val="auto"/>
          <w:sz w:val="32"/>
          <w:szCs w:val="32"/>
        </w:rPr>
        <w:t xml:space="preserve"> 下列工程不列入评价范围：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（一）不符合国家产业政策，使用国家主管部门以及行业明令禁止使用或者淘汰的材料、技术、工艺和设备的工程；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（二）由于设计、施工等原因而存在质量、安全隐患、功能性缺陷的工程；</w:t>
      </w:r>
    </w:p>
    <w:p>
      <w:pPr>
        <w:spacing w:line="58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（三）发生重大违规违纪事件的工程；</w:t>
      </w:r>
    </w:p>
    <w:p>
      <w:pPr>
        <w:spacing w:line="58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（四）工程建设过程中发生过一般及以上质量事故、一般及以上安全事故和环境事故的工程。</w:t>
      </w:r>
    </w:p>
    <w:p>
      <w:pPr>
        <w:pStyle w:val="22"/>
        <w:tabs>
          <w:tab w:val="left" w:pos="1843"/>
        </w:tabs>
        <w:spacing w:line="600" w:lineRule="exact"/>
        <w:ind w:left="560" w:firstLine="0" w:firstLineChars="0"/>
        <w:rPr>
          <w:rFonts w:ascii="仿宋_GB2312" w:hAnsi="仿宋" w:eastAsia="仿宋_GB2312" w:cs="Times New Roman"/>
          <w:color w:val="auto"/>
          <w:sz w:val="32"/>
          <w:szCs w:val="32"/>
        </w:rPr>
      </w:pPr>
      <w:r>
        <w:rPr>
          <w:rFonts w:hint="eastAsia" w:ascii="黑体" w:hAnsi="黑体" w:eastAsia="黑体" w:cs="黑体"/>
          <w:bCs/>
          <w:color w:val="auto"/>
          <w:sz w:val="32"/>
          <w:szCs w:val="32"/>
        </w:rPr>
        <w:t xml:space="preserve">第五条 </w:t>
      </w:r>
      <w:r>
        <w:rPr>
          <w:rFonts w:hint="eastAsia" w:ascii="仿宋_GB2312" w:hAnsi="仿宋" w:eastAsia="仿宋_GB2312" w:cs="Times New Roman"/>
          <w:color w:val="auto"/>
          <w:sz w:val="32"/>
          <w:szCs w:val="32"/>
        </w:rPr>
        <w:t>申报绿色建造评价的工程应当具备下列条件：</w:t>
      </w:r>
    </w:p>
    <w:p>
      <w:pPr>
        <w:spacing w:line="60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（一）符合国家倡导的建设生态文明、推进绿色发展的政策法规要求；</w:t>
      </w:r>
    </w:p>
    <w:p>
      <w:pPr>
        <w:spacing w:line="60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（二）建设程序合法合规，建设手续齐全；</w:t>
      </w:r>
    </w:p>
    <w:p>
      <w:pPr>
        <w:spacing w:line="60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（三）设计方案须符合国家有关行业或产业发展政策，具有先进的设计理念，采用适用、安全、经济、可靠的新技术，符合国家有关设计、施工规范和相关要求；</w:t>
      </w:r>
    </w:p>
    <w:p>
      <w:pPr>
        <w:spacing w:line="60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（四）有建设工程绿色建造实施策划方案；</w:t>
      </w:r>
    </w:p>
    <w:p>
      <w:pPr>
        <w:spacing w:line="60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（五）具有显著的经济和社会效益。</w:t>
      </w:r>
    </w:p>
    <w:p>
      <w:pPr>
        <w:spacing w:line="580" w:lineRule="exact"/>
        <w:jc w:val="center"/>
        <w:rPr>
          <w:rFonts w:ascii="黑体" w:hAnsi="黑体" w:eastAsia="黑体" w:cs="黑体"/>
          <w:bCs/>
          <w:color w:val="auto"/>
          <w:sz w:val="32"/>
          <w:szCs w:val="32"/>
        </w:rPr>
      </w:pPr>
      <w:r>
        <w:rPr>
          <w:rFonts w:hint="eastAsia" w:ascii="黑体" w:hAnsi="黑体" w:eastAsia="黑体" w:cs="黑体"/>
          <w:bCs/>
          <w:color w:val="auto"/>
          <w:sz w:val="32"/>
          <w:szCs w:val="32"/>
        </w:rPr>
        <w:t>第三章  申报要求</w:t>
      </w:r>
    </w:p>
    <w:p>
      <w:pPr>
        <w:tabs>
          <w:tab w:val="left" w:pos="1843"/>
        </w:tabs>
        <w:spacing w:line="600" w:lineRule="exact"/>
        <w:ind w:firstLine="640" w:firstLineChars="200"/>
        <w:rPr>
          <w:rFonts w:ascii="仿宋_GB2312" w:hAnsi="仿宋" w:eastAsia="仿宋_GB2312" w:cs="Times New Roman"/>
          <w:color w:val="auto"/>
          <w:sz w:val="32"/>
          <w:szCs w:val="32"/>
        </w:rPr>
      </w:pPr>
      <w:r>
        <w:rPr>
          <w:rFonts w:hint="eastAsia" w:ascii="黑体" w:hAnsi="黑体" w:eastAsia="黑体" w:cs="黑体"/>
          <w:bCs/>
          <w:color w:val="auto"/>
          <w:sz w:val="32"/>
          <w:szCs w:val="32"/>
        </w:rPr>
        <w:t xml:space="preserve">第六条 </w:t>
      </w:r>
      <w:r>
        <w:rPr>
          <w:rFonts w:hint="eastAsia" w:ascii="仿宋_GB2312" w:hAnsi="仿宋" w:eastAsia="仿宋_GB2312" w:cs="Times New Roman"/>
          <w:color w:val="auto"/>
          <w:sz w:val="32"/>
          <w:szCs w:val="32"/>
        </w:rPr>
        <w:t>申报绿色建造水平评价的工程由建设单位、施工单位或设计施工总承包单位自愿组织申报。</w:t>
      </w:r>
    </w:p>
    <w:p>
      <w:pPr>
        <w:tabs>
          <w:tab w:val="left" w:pos="1843"/>
        </w:tabs>
        <w:spacing w:line="600" w:lineRule="exact"/>
        <w:ind w:firstLine="640" w:firstLineChars="200"/>
        <w:rPr>
          <w:rFonts w:ascii="仿宋_GB2312" w:hAnsi="仿宋" w:eastAsia="仿宋_GB2312" w:cs="Times New Roman"/>
          <w:color w:val="auto"/>
          <w:sz w:val="32"/>
          <w:szCs w:val="32"/>
        </w:rPr>
      </w:pPr>
      <w:r>
        <w:rPr>
          <w:rFonts w:hint="eastAsia" w:ascii="黑体" w:hAnsi="黑体" w:eastAsia="黑体" w:cs="黑体"/>
          <w:bCs/>
          <w:color w:val="auto"/>
          <w:sz w:val="32"/>
          <w:szCs w:val="32"/>
        </w:rPr>
        <w:t xml:space="preserve">第七条 </w:t>
      </w:r>
      <w:r>
        <w:rPr>
          <w:rFonts w:hint="eastAsia" w:ascii="仿宋_GB2312" w:hAnsi="仿宋" w:eastAsia="仿宋_GB2312" w:cs="Times New Roman"/>
          <w:color w:val="auto"/>
          <w:sz w:val="32"/>
          <w:szCs w:val="32"/>
        </w:rPr>
        <w:t>符合申报条件工程项目，在主体工程完成前，具备现场检查条件后即可申报。</w:t>
      </w:r>
    </w:p>
    <w:p>
      <w:pPr>
        <w:spacing w:line="580" w:lineRule="exact"/>
        <w:jc w:val="center"/>
        <w:rPr>
          <w:rFonts w:ascii="黑体" w:hAnsi="黑体" w:eastAsia="黑体" w:cs="黑体"/>
          <w:bCs/>
          <w:color w:val="auto"/>
          <w:sz w:val="32"/>
          <w:szCs w:val="32"/>
        </w:rPr>
      </w:pPr>
      <w:r>
        <w:rPr>
          <w:rFonts w:hint="eastAsia" w:ascii="黑体" w:hAnsi="黑体" w:eastAsia="黑体" w:cs="黑体"/>
          <w:bCs/>
          <w:color w:val="auto"/>
          <w:sz w:val="32"/>
          <w:szCs w:val="32"/>
        </w:rPr>
        <w:t>第四章  评价程序</w:t>
      </w:r>
    </w:p>
    <w:p>
      <w:pPr>
        <w:spacing w:line="580" w:lineRule="exact"/>
        <w:ind w:firstLine="640" w:firstLineChars="200"/>
        <w:rPr>
          <w:rFonts w:hint="eastAsia" w:ascii="仿宋_GB2312" w:hAnsi="仿宋" w:eastAsia="仿宋_GB2312" w:cs="Times New Roman"/>
          <w:color w:val="auto"/>
          <w:sz w:val="32"/>
          <w:szCs w:val="32"/>
          <w:lang w:eastAsia="zh-CN"/>
        </w:rPr>
      </w:pPr>
      <w:r>
        <w:rPr>
          <w:rFonts w:hint="eastAsia" w:ascii="黑体" w:hAnsi="黑体" w:eastAsia="黑体" w:cs="黑体"/>
          <w:bCs/>
          <w:color w:val="auto"/>
          <w:sz w:val="32"/>
          <w:szCs w:val="32"/>
        </w:rPr>
        <w:t>第八条</w:t>
      </w:r>
      <w:r>
        <w:rPr>
          <w:rFonts w:hint="eastAsia" w:ascii="仿宋_GB2312" w:hAnsi="仿宋" w:eastAsia="仿宋_GB2312" w:cs="Times New Roman"/>
          <w:color w:val="auto"/>
          <w:sz w:val="32"/>
          <w:szCs w:val="32"/>
        </w:rPr>
        <w:t xml:space="preserve"> </w:t>
      </w:r>
      <w:r>
        <w:rPr>
          <w:rFonts w:hint="eastAsia" w:ascii="仿宋_GB2312" w:hAnsi="仿宋" w:eastAsia="仿宋_GB2312" w:cs="Times New Roman"/>
          <w:color w:val="auto"/>
          <w:sz w:val="32"/>
          <w:szCs w:val="32"/>
          <w:lang w:eastAsia="zh-CN"/>
        </w:rPr>
        <w:t>评价时间每年根据申报情况分期分批进行，评价专家</w:t>
      </w:r>
      <w:r>
        <w:rPr>
          <w:rFonts w:hint="eastAsia" w:ascii="仿宋_GB2312" w:hAnsi="仿宋" w:eastAsia="仿宋_GB2312" w:cs="Times New Roman"/>
          <w:color w:val="auto"/>
          <w:sz w:val="32"/>
          <w:szCs w:val="32"/>
        </w:rPr>
        <w:t>按申报</w:t>
      </w:r>
      <w:r>
        <w:rPr>
          <w:rFonts w:hint="eastAsia" w:ascii="仿宋_GB2312" w:hAnsi="仿宋" w:eastAsia="仿宋_GB2312" w:cs="Times New Roman"/>
          <w:color w:val="auto"/>
          <w:sz w:val="32"/>
          <w:szCs w:val="32"/>
          <w:lang w:eastAsia="zh-CN"/>
        </w:rPr>
        <w:t>项目行</w:t>
      </w:r>
      <w:r>
        <w:rPr>
          <w:rFonts w:hint="eastAsia" w:ascii="仿宋_GB2312" w:hAnsi="仿宋" w:eastAsia="仿宋_GB2312" w:cs="Times New Roman"/>
          <w:color w:val="auto"/>
          <w:sz w:val="32"/>
          <w:szCs w:val="32"/>
        </w:rPr>
        <w:t>业从</w:t>
      </w:r>
      <w:r>
        <w:rPr>
          <w:rFonts w:hint="eastAsia" w:ascii="仿宋_GB2312" w:hAnsi="仿宋" w:eastAsia="仿宋_GB2312" w:cs="Times New Roman"/>
          <w:color w:val="auto"/>
          <w:sz w:val="32"/>
          <w:szCs w:val="32"/>
          <w:lang w:eastAsia="zh-CN"/>
        </w:rPr>
        <w:t>建筑业</w:t>
      </w:r>
      <w:r>
        <w:rPr>
          <w:rFonts w:hint="eastAsia" w:ascii="仿宋_GB2312" w:hAnsi="仿宋" w:eastAsia="仿宋_GB2312" w:cs="Times New Roman"/>
          <w:color w:val="auto"/>
          <w:sz w:val="32"/>
          <w:szCs w:val="32"/>
        </w:rPr>
        <w:t>专家库中</w:t>
      </w:r>
      <w:r>
        <w:rPr>
          <w:rFonts w:hint="eastAsia" w:ascii="仿宋_GB2312" w:hAnsi="仿宋" w:eastAsia="仿宋_GB2312" w:cs="Times New Roman"/>
          <w:color w:val="auto"/>
          <w:sz w:val="32"/>
          <w:szCs w:val="32"/>
          <w:lang w:eastAsia="zh-CN"/>
        </w:rPr>
        <w:t>选聘</w:t>
      </w:r>
      <w:r>
        <w:rPr>
          <w:rFonts w:hint="eastAsia" w:ascii="仿宋_GB2312" w:hAnsi="仿宋" w:eastAsia="仿宋_GB2312" w:cs="Times New Roman"/>
          <w:color w:val="auto"/>
          <w:sz w:val="32"/>
          <w:szCs w:val="32"/>
        </w:rPr>
        <w:t>，组</w:t>
      </w:r>
      <w:r>
        <w:rPr>
          <w:rFonts w:hint="eastAsia" w:ascii="仿宋_GB2312" w:hAnsi="仿宋" w:eastAsia="仿宋_GB2312" w:cs="Times New Roman"/>
          <w:color w:val="auto"/>
          <w:sz w:val="32"/>
          <w:szCs w:val="32"/>
          <w:lang w:eastAsia="zh-CN"/>
        </w:rPr>
        <w:t>成</w:t>
      </w:r>
      <w:r>
        <w:rPr>
          <w:rFonts w:hint="eastAsia" w:ascii="仿宋_GB2312" w:hAnsi="仿宋" w:eastAsia="仿宋_GB2312" w:cs="Times New Roman"/>
          <w:color w:val="auto"/>
          <w:sz w:val="32"/>
          <w:szCs w:val="32"/>
        </w:rPr>
        <w:t>专家评审小组</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专家应具有高级技术职称</w:t>
      </w:r>
      <w:r>
        <w:rPr>
          <w:rFonts w:hint="eastAsia" w:ascii="仿宋_GB2312" w:hAnsi="仿宋" w:eastAsia="仿宋_GB2312" w:cs="Times New Roman"/>
          <w:color w:val="auto"/>
          <w:sz w:val="32"/>
          <w:szCs w:val="32"/>
          <w:lang w:eastAsia="zh-CN"/>
        </w:rPr>
        <w:t>且</w:t>
      </w:r>
      <w:r>
        <w:rPr>
          <w:rFonts w:hint="eastAsia" w:ascii="仿宋_GB2312" w:hAnsi="仿宋" w:eastAsia="仿宋_GB2312" w:cs="Times New Roman"/>
          <w:color w:val="auto"/>
          <w:sz w:val="32"/>
          <w:szCs w:val="32"/>
        </w:rPr>
        <w:t>有多年绿色施工或相关领域工作经验。</w:t>
      </w:r>
    </w:p>
    <w:p>
      <w:pPr>
        <w:spacing w:line="580" w:lineRule="exact"/>
        <w:ind w:firstLine="640" w:firstLineChars="200"/>
        <w:rPr>
          <w:rFonts w:ascii="黑体" w:hAnsi="黑体" w:eastAsia="黑体" w:cs="黑体"/>
          <w:bCs/>
          <w:color w:val="auto"/>
          <w:sz w:val="32"/>
          <w:szCs w:val="32"/>
        </w:rPr>
      </w:pPr>
      <w:r>
        <w:rPr>
          <w:rFonts w:hint="eastAsia" w:ascii="黑体" w:hAnsi="黑体" w:eastAsia="黑体" w:cs="黑体"/>
          <w:bCs/>
          <w:color w:val="auto"/>
          <w:sz w:val="32"/>
          <w:szCs w:val="32"/>
        </w:rPr>
        <w:t xml:space="preserve">第九条 </w:t>
      </w:r>
      <w:r>
        <w:rPr>
          <w:rFonts w:hint="eastAsia" w:ascii="仿宋_GB2312" w:hAnsi="仿宋" w:eastAsia="仿宋_GB2312" w:cs="Times New Roman"/>
          <w:color w:val="auto"/>
          <w:sz w:val="32"/>
          <w:szCs w:val="32"/>
        </w:rPr>
        <w:t>评价程序：</w:t>
      </w:r>
    </w:p>
    <w:p>
      <w:pPr>
        <w:spacing w:line="58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（一）资料审查：专家组对申请资料进行合规性审查。</w:t>
      </w:r>
    </w:p>
    <w:p>
      <w:pPr>
        <w:spacing w:line="58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（二）现场查看：专家组对工程实际实施情况进行现场查看，并提交现场检查意见。</w:t>
      </w:r>
    </w:p>
    <w:p>
      <w:pPr>
        <w:spacing w:line="58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（三）终评：工程项目在完成竣工验收半年内,召开专家评价会议，专家组出具终评意见。</w:t>
      </w:r>
    </w:p>
    <w:p>
      <w:pPr>
        <w:spacing w:line="58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（四）审定：终评结果报省建协会长办公会进行审定。</w:t>
      </w:r>
    </w:p>
    <w:p>
      <w:pPr>
        <w:spacing w:line="580" w:lineRule="exact"/>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（五）公示：评价结果在省建协网站上进行为期七天的公示，公示期无异议的项目，由省建协授予</w:t>
      </w:r>
      <w:r>
        <w:rPr>
          <w:rFonts w:hint="eastAsia" w:ascii="仿宋_GB2312" w:hAnsi="仿宋" w:eastAsia="仿宋_GB2312" w:cs="Times New Roman"/>
          <w:color w:val="auto"/>
          <w:sz w:val="32"/>
          <w:szCs w:val="32"/>
          <w:lang w:eastAsia="zh-CN"/>
        </w:rPr>
        <w:t>绿色建造</w:t>
      </w:r>
      <w:r>
        <w:rPr>
          <w:rFonts w:hint="eastAsia" w:ascii="仿宋_GB2312" w:hAnsi="仿宋" w:eastAsia="仿宋_GB2312" w:cs="Times New Roman"/>
          <w:color w:val="auto"/>
          <w:sz w:val="32"/>
          <w:szCs w:val="32"/>
        </w:rPr>
        <w:t>评价等级证书。</w:t>
      </w:r>
    </w:p>
    <w:p>
      <w:pPr>
        <w:spacing w:line="580" w:lineRule="exact"/>
        <w:jc w:val="center"/>
        <w:rPr>
          <w:rFonts w:ascii="黑体" w:hAnsi="黑体" w:eastAsia="黑体" w:cs="黑体"/>
          <w:bCs/>
          <w:color w:val="auto"/>
          <w:sz w:val="32"/>
          <w:szCs w:val="32"/>
        </w:rPr>
      </w:pPr>
      <w:r>
        <w:rPr>
          <w:rFonts w:hint="eastAsia" w:ascii="黑体" w:hAnsi="黑体" w:eastAsia="黑体" w:cs="黑体"/>
          <w:bCs/>
          <w:color w:val="auto"/>
          <w:sz w:val="32"/>
          <w:szCs w:val="32"/>
        </w:rPr>
        <w:t>第五章  评</w:t>
      </w:r>
      <w:r>
        <w:rPr>
          <w:rFonts w:hint="eastAsia" w:ascii="黑体" w:hAnsi="黑体" w:eastAsia="黑体" w:cs="黑体"/>
          <w:bCs/>
          <w:color w:val="auto"/>
          <w:sz w:val="32"/>
          <w:szCs w:val="32"/>
          <w:lang w:eastAsia="zh-CN"/>
        </w:rPr>
        <w:t>分</w:t>
      </w:r>
      <w:r>
        <w:rPr>
          <w:rFonts w:hint="eastAsia" w:ascii="黑体" w:hAnsi="黑体" w:eastAsia="黑体" w:cs="黑体"/>
          <w:bCs/>
          <w:color w:val="auto"/>
          <w:sz w:val="32"/>
          <w:szCs w:val="32"/>
        </w:rPr>
        <w:t>办法</w:t>
      </w:r>
    </w:p>
    <w:p>
      <w:pPr>
        <w:spacing w:line="580" w:lineRule="exact"/>
        <w:ind w:firstLine="640" w:firstLineChars="200"/>
        <w:rPr>
          <w:rFonts w:ascii="仿宋_GB2312" w:hAnsi="仿宋" w:eastAsia="仿宋_GB2312" w:cs="Times New Roman"/>
          <w:color w:val="auto"/>
          <w:sz w:val="32"/>
          <w:szCs w:val="32"/>
        </w:rPr>
      </w:pPr>
      <w:r>
        <w:rPr>
          <w:rFonts w:hint="eastAsia" w:ascii="黑体" w:hAnsi="黑体" w:eastAsia="黑体" w:cs="黑体"/>
          <w:bCs/>
          <w:color w:val="auto"/>
          <w:sz w:val="32"/>
          <w:szCs w:val="32"/>
        </w:rPr>
        <w:t>第十条</w:t>
      </w:r>
      <w:r>
        <w:rPr>
          <w:rFonts w:hint="eastAsia" w:ascii="仿宋_GB2312" w:hAnsi="仿宋" w:eastAsia="仿宋_GB2312" w:cs="Times New Roman"/>
          <w:color w:val="auto"/>
          <w:sz w:val="32"/>
          <w:szCs w:val="32"/>
        </w:rPr>
        <w:t xml:space="preserve"> 依据《绿色建造技术导则（试行）》，</w:t>
      </w:r>
      <w:r>
        <w:rPr>
          <w:rFonts w:hint="eastAsia" w:ascii="仿宋_GB2312" w:hAnsi="仿宋" w:eastAsia="仿宋_GB2312" w:cs="Times New Roman"/>
          <w:color w:val="auto"/>
          <w:sz w:val="32"/>
          <w:szCs w:val="32"/>
          <w:lang w:eastAsia="zh-CN"/>
        </w:rPr>
        <w:t>评分项</w:t>
      </w:r>
      <w:r>
        <w:rPr>
          <w:rFonts w:hint="eastAsia" w:ascii="仿宋_GB2312" w:hAnsi="仿宋" w:eastAsia="仿宋_GB2312" w:cs="Times New Roman"/>
          <w:color w:val="auto"/>
          <w:sz w:val="32"/>
          <w:szCs w:val="32"/>
        </w:rPr>
        <w:t>包</w:t>
      </w:r>
      <w:r>
        <w:rPr>
          <w:rFonts w:hint="eastAsia" w:ascii="仿宋_GB2312" w:hAnsi="仿宋" w:eastAsia="仿宋_GB2312" w:cs="Times New Roman"/>
          <w:color w:val="auto"/>
          <w:sz w:val="32"/>
          <w:szCs w:val="32"/>
          <w:lang w:eastAsia="zh-CN"/>
        </w:rPr>
        <w:t>括</w:t>
      </w:r>
      <w:r>
        <w:rPr>
          <w:rFonts w:hint="eastAsia" w:ascii="仿宋_GB2312" w:hAnsi="仿宋" w:eastAsia="仿宋_GB2312" w:cs="Times New Roman"/>
          <w:color w:val="auto"/>
          <w:sz w:val="32"/>
          <w:szCs w:val="32"/>
        </w:rPr>
        <w:t>控制项、一般项和优选项，其中控制项必须全部满足且措施到位，一般项参与评分，优选项评分不计入权重。</w:t>
      </w:r>
    </w:p>
    <w:p>
      <w:pPr>
        <w:spacing w:line="580" w:lineRule="exact"/>
        <w:ind w:firstLine="640" w:firstLineChars="200"/>
        <w:rPr>
          <w:rFonts w:ascii="仿宋_GB2312" w:hAnsi="仿宋" w:eastAsia="仿宋_GB2312" w:cs="Times New Roman"/>
          <w:color w:val="auto"/>
          <w:sz w:val="32"/>
          <w:szCs w:val="32"/>
        </w:rPr>
      </w:pPr>
      <w:r>
        <w:rPr>
          <w:rFonts w:hint="eastAsia" w:ascii="黑体" w:hAnsi="黑体" w:eastAsia="黑体" w:cs="黑体"/>
          <w:bCs/>
          <w:color w:val="auto"/>
          <w:sz w:val="32"/>
          <w:szCs w:val="32"/>
        </w:rPr>
        <w:t>第十一条</w:t>
      </w:r>
      <w:r>
        <w:rPr>
          <w:rFonts w:hint="eastAsia" w:ascii="仿宋_GB2312" w:hAnsi="仿宋" w:eastAsia="仿宋_GB2312" w:cs="Times New Roman"/>
          <w:color w:val="auto"/>
          <w:sz w:val="32"/>
          <w:szCs w:val="32"/>
        </w:rPr>
        <w:t xml:space="preserve"> 绿色建造设计水平评价适用于建筑工程，其他类型项目参照执行。</w:t>
      </w:r>
    </w:p>
    <w:p>
      <w:pPr>
        <w:spacing w:line="580" w:lineRule="exact"/>
        <w:ind w:firstLine="640" w:firstLineChars="200"/>
        <w:rPr>
          <w:rFonts w:ascii="仿宋_GB2312" w:hAnsi="仿宋" w:eastAsia="仿宋_GB2312" w:cs="Times New Roman"/>
          <w:color w:val="auto"/>
          <w:sz w:val="32"/>
          <w:szCs w:val="32"/>
        </w:rPr>
      </w:pPr>
      <w:r>
        <w:rPr>
          <w:rFonts w:hint="eastAsia" w:ascii="黑体" w:hAnsi="黑体" w:eastAsia="黑体" w:cs="黑体"/>
          <w:bCs/>
          <w:color w:val="auto"/>
          <w:sz w:val="32"/>
          <w:szCs w:val="32"/>
        </w:rPr>
        <w:t>第十二条</w:t>
      </w:r>
      <w:r>
        <w:rPr>
          <w:rFonts w:hint="eastAsia" w:ascii="仿宋_GB2312" w:hAnsi="仿宋" w:eastAsia="仿宋_GB2312" w:cs="Times New Roman"/>
          <w:color w:val="auto"/>
          <w:sz w:val="32"/>
          <w:szCs w:val="32"/>
        </w:rPr>
        <w:t xml:space="preserve"> 各部分权重</w:t>
      </w:r>
    </w:p>
    <w:p>
      <w:pPr>
        <w:pStyle w:val="2"/>
        <w:rPr>
          <w:color w:val="auto"/>
          <w:sz w:val="32"/>
          <w:szCs w:val="32"/>
        </w:rPr>
      </w:pPr>
    </w:p>
    <w:p>
      <w:pPr>
        <w:spacing w:line="360" w:lineRule="auto"/>
        <w:ind w:firstLine="640" w:firstLineChars="200"/>
        <w:jc w:val="center"/>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绿色建造评价四部分权重表</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ascii="宋体" w:hAnsi="宋体" w:cs="宋体"/>
                <w:color w:val="auto"/>
                <w:kern w:val="0"/>
                <w:sz w:val="32"/>
                <w:szCs w:val="32"/>
              </w:rPr>
            </w:pPr>
            <w:r>
              <w:rPr>
                <w:rFonts w:hint="eastAsia" w:ascii="宋体" w:hAnsi="宋体" w:cs="宋体"/>
                <w:color w:val="auto"/>
                <w:kern w:val="0"/>
                <w:sz w:val="32"/>
                <w:szCs w:val="32"/>
              </w:rPr>
              <w:t>名称</w:t>
            </w:r>
          </w:p>
        </w:tc>
        <w:tc>
          <w:tcPr>
            <w:tcW w:w="2130" w:type="dxa"/>
            <w:vAlign w:val="center"/>
          </w:tcPr>
          <w:p>
            <w:pPr>
              <w:jc w:val="center"/>
              <w:rPr>
                <w:rFonts w:ascii="宋体" w:hAnsi="宋体" w:cs="宋体"/>
                <w:color w:val="auto"/>
                <w:kern w:val="0"/>
                <w:sz w:val="32"/>
                <w:szCs w:val="32"/>
              </w:rPr>
            </w:pPr>
            <w:r>
              <w:rPr>
                <w:rFonts w:hint="eastAsia" w:ascii="宋体" w:hAnsi="宋体" w:cs="宋体"/>
                <w:color w:val="auto"/>
                <w:kern w:val="0"/>
                <w:sz w:val="32"/>
                <w:szCs w:val="32"/>
              </w:rPr>
              <w:t>绿色策划</w:t>
            </w:r>
          </w:p>
        </w:tc>
        <w:tc>
          <w:tcPr>
            <w:tcW w:w="2131" w:type="dxa"/>
            <w:vAlign w:val="center"/>
          </w:tcPr>
          <w:p>
            <w:pPr>
              <w:jc w:val="center"/>
              <w:rPr>
                <w:rFonts w:ascii="宋体" w:hAnsi="宋体" w:cs="宋体"/>
                <w:color w:val="auto"/>
                <w:kern w:val="0"/>
                <w:sz w:val="32"/>
                <w:szCs w:val="32"/>
              </w:rPr>
            </w:pPr>
            <w:r>
              <w:rPr>
                <w:rFonts w:hint="eastAsia" w:ascii="宋体" w:hAnsi="宋体" w:cs="宋体"/>
                <w:color w:val="auto"/>
                <w:kern w:val="0"/>
                <w:sz w:val="32"/>
                <w:szCs w:val="32"/>
              </w:rPr>
              <w:t>绿色设计</w:t>
            </w:r>
          </w:p>
        </w:tc>
        <w:tc>
          <w:tcPr>
            <w:tcW w:w="2131" w:type="dxa"/>
            <w:vAlign w:val="center"/>
          </w:tcPr>
          <w:p>
            <w:pPr>
              <w:jc w:val="center"/>
              <w:rPr>
                <w:rFonts w:ascii="宋体" w:hAnsi="宋体" w:cs="宋体"/>
                <w:color w:val="auto"/>
                <w:kern w:val="0"/>
                <w:sz w:val="32"/>
                <w:szCs w:val="32"/>
              </w:rPr>
            </w:pPr>
            <w:r>
              <w:rPr>
                <w:rFonts w:hint="eastAsia" w:ascii="宋体" w:hAnsi="宋体" w:cs="宋体"/>
                <w:color w:val="auto"/>
                <w:kern w:val="0"/>
                <w:sz w:val="32"/>
                <w:szCs w:val="32"/>
              </w:rPr>
              <w:t>绿色施工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30" w:type="dxa"/>
            <w:vAlign w:val="center"/>
          </w:tcPr>
          <w:p>
            <w:pPr>
              <w:jc w:val="center"/>
              <w:rPr>
                <w:rFonts w:ascii="宋体" w:hAnsi="宋体" w:cs="宋体"/>
                <w:color w:val="auto"/>
                <w:kern w:val="0"/>
                <w:sz w:val="32"/>
                <w:szCs w:val="32"/>
              </w:rPr>
            </w:pPr>
            <w:r>
              <w:rPr>
                <w:rFonts w:hint="eastAsia" w:ascii="宋体" w:hAnsi="宋体" w:cs="宋体"/>
                <w:color w:val="auto"/>
                <w:kern w:val="0"/>
                <w:sz w:val="32"/>
                <w:szCs w:val="32"/>
              </w:rPr>
              <w:t>权重</w:t>
            </w:r>
          </w:p>
        </w:tc>
        <w:tc>
          <w:tcPr>
            <w:tcW w:w="2130" w:type="dxa"/>
            <w:vAlign w:val="center"/>
          </w:tcPr>
          <w:p>
            <w:pPr>
              <w:jc w:val="center"/>
              <w:rPr>
                <w:rFonts w:ascii="宋体" w:hAnsi="宋体" w:cs="宋体"/>
                <w:color w:val="auto"/>
                <w:kern w:val="0"/>
                <w:sz w:val="32"/>
                <w:szCs w:val="32"/>
              </w:rPr>
            </w:pPr>
            <w:r>
              <w:rPr>
                <w:rFonts w:hint="eastAsia" w:ascii="宋体" w:hAnsi="宋体" w:cs="宋体"/>
                <w:color w:val="auto"/>
                <w:kern w:val="0"/>
                <w:sz w:val="32"/>
                <w:szCs w:val="32"/>
              </w:rPr>
              <w:t>0.2</w:t>
            </w:r>
          </w:p>
        </w:tc>
        <w:tc>
          <w:tcPr>
            <w:tcW w:w="2131" w:type="dxa"/>
            <w:vAlign w:val="center"/>
          </w:tcPr>
          <w:p>
            <w:pPr>
              <w:jc w:val="center"/>
              <w:rPr>
                <w:rFonts w:ascii="宋体" w:hAnsi="宋体" w:cs="宋体"/>
                <w:color w:val="auto"/>
                <w:kern w:val="0"/>
                <w:sz w:val="32"/>
                <w:szCs w:val="32"/>
              </w:rPr>
            </w:pPr>
            <w:r>
              <w:rPr>
                <w:rFonts w:hint="eastAsia" w:ascii="宋体" w:hAnsi="宋体" w:cs="宋体"/>
                <w:color w:val="auto"/>
                <w:kern w:val="0"/>
                <w:sz w:val="32"/>
                <w:szCs w:val="32"/>
              </w:rPr>
              <w:t>0.3</w:t>
            </w:r>
          </w:p>
        </w:tc>
        <w:tc>
          <w:tcPr>
            <w:tcW w:w="2131" w:type="dxa"/>
            <w:vAlign w:val="center"/>
          </w:tcPr>
          <w:p>
            <w:pPr>
              <w:jc w:val="center"/>
              <w:rPr>
                <w:rFonts w:ascii="宋体" w:hAnsi="宋体" w:cs="宋体"/>
                <w:color w:val="auto"/>
                <w:kern w:val="0"/>
                <w:sz w:val="32"/>
                <w:szCs w:val="32"/>
              </w:rPr>
            </w:pPr>
            <w:r>
              <w:rPr>
                <w:rFonts w:hint="eastAsia" w:ascii="宋体" w:hAnsi="宋体" w:cs="宋体"/>
                <w:color w:val="auto"/>
                <w:kern w:val="0"/>
                <w:sz w:val="32"/>
                <w:szCs w:val="32"/>
              </w:rPr>
              <w:t>0.5</w:t>
            </w:r>
          </w:p>
        </w:tc>
      </w:tr>
    </w:tbl>
    <w:p>
      <w:pPr>
        <w:spacing w:before="156" w:beforeLines="50" w:line="360" w:lineRule="auto"/>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总分按照下式计算，满分1</w:t>
      </w:r>
      <w:r>
        <w:rPr>
          <w:rFonts w:hint="eastAsia" w:ascii="仿宋_GB2312" w:hAnsi="仿宋" w:eastAsia="仿宋_GB2312" w:cs="Times New Roman"/>
          <w:color w:val="auto"/>
          <w:sz w:val="32"/>
          <w:szCs w:val="32"/>
          <w:lang w:val="en-US" w:eastAsia="zh-CN"/>
        </w:rPr>
        <w:t>0</w:t>
      </w:r>
      <w:r>
        <w:rPr>
          <w:rFonts w:hint="eastAsia" w:ascii="仿宋_GB2312" w:hAnsi="仿宋" w:eastAsia="仿宋_GB2312" w:cs="Times New Roman"/>
          <w:color w:val="auto"/>
          <w:sz w:val="32"/>
          <w:szCs w:val="32"/>
        </w:rPr>
        <w:t>0分：</w:t>
      </w:r>
    </w:p>
    <w:p>
      <w:pPr>
        <w:spacing w:before="156" w:beforeLines="50" w:line="360" w:lineRule="auto"/>
        <w:jc w:val="center"/>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Q=Q</w:t>
      </w:r>
      <w:r>
        <w:rPr>
          <w:rFonts w:hint="eastAsia" w:ascii="仿宋_GB2312" w:hAnsi="仿宋" w:eastAsia="仿宋_GB2312" w:cs="Times New Roman"/>
          <w:color w:val="auto"/>
          <w:sz w:val="32"/>
          <w:szCs w:val="32"/>
          <w:vertAlign w:val="subscript"/>
        </w:rPr>
        <w:t>1</w:t>
      </w:r>
      <w:r>
        <w:rPr>
          <w:rFonts w:hint="eastAsia" w:ascii="仿宋_GB2312" w:hAnsi="仿宋" w:eastAsia="仿宋_GB2312" w:cs="Times New Roman"/>
          <w:color w:val="auto"/>
          <w:sz w:val="32"/>
          <w:szCs w:val="32"/>
        </w:rPr>
        <w:t>*0.2+Q</w:t>
      </w:r>
      <w:r>
        <w:rPr>
          <w:rFonts w:hint="eastAsia" w:ascii="仿宋_GB2312" w:hAnsi="仿宋" w:eastAsia="仿宋_GB2312" w:cs="Times New Roman"/>
          <w:color w:val="auto"/>
          <w:sz w:val="32"/>
          <w:szCs w:val="32"/>
          <w:vertAlign w:val="subscript"/>
        </w:rPr>
        <w:t>2</w:t>
      </w:r>
      <w:r>
        <w:rPr>
          <w:rFonts w:hint="eastAsia" w:ascii="仿宋_GB2312" w:hAnsi="仿宋" w:eastAsia="仿宋_GB2312" w:cs="Times New Roman"/>
          <w:color w:val="auto"/>
          <w:sz w:val="32"/>
          <w:szCs w:val="32"/>
        </w:rPr>
        <w:t>*0.3+Q</w:t>
      </w:r>
      <w:r>
        <w:rPr>
          <w:rFonts w:hint="eastAsia" w:ascii="仿宋_GB2312" w:hAnsi="仿宋" w:eastAsia="仿宋_GB2312" w:cs="Times New Roman"/>
          <w:color w:val="auto"/>
          <w:sz w:val="32"/>
          <w:szCs w:val="32"/>
          <w:vertAlign w:val="subscript"/>
        </w:rPr>
        <w:t>3</w:t>
      </w:r>
      <w:r>
        <w:rPr>
          <w:rFonts w:hint="eastAsia" w:ascii="仿宋_GB2312" w:hAnsi="仿宋" w:eastAsia="仿宋_GB2312" w:cs="Times New Roman"/>
          <w:color w:val="auto"/>
          <w:sz w:val="32"/>
          <w:szCs w:val="32"/>
        </w:rPr>
        <w:t>*0.5+Y</w:t>
      </w:r>
    </w:p>
    <w:p>
      <w:pPr>
        <w:spacing w:before="156" w:beforeLines="50" w:line="360" w:lineRule="auto"/>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其中：Q-绿色建造评价总得分</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lang w:val="en-US" w:eastAsia="zh-CN"/>
        </w:rPr>
        <w:t>四舍五入，保留一位小数</w:t>
      </w:r>
      <w:r>
        <w:rPr>
          <w:rFonts w:hint="eastAsia" w:ascii="仿宋_GB2312" w:hAnsi="仿宋" w:eastAsia="仿宋_GB2312" w:cs="Times New Roman"/>
          <w:color w:val="auto"/>
          <w:sz w:val="32"/>
          <w:szCs w:val="32"/>
          <w:lang w:eastAsia="zh-CN"/>
        </w:rPr>
        <w:t>）</w:t>
      </w:r>
      <w:r>
        <w:rPr>
          <w:rFonts w:hint="eastAsia" w:ascii="仿宋_GB2312" w:hAnsi="仿宋" w:eastAsia="仿宋_GB2312" w:cs="Times New Roman"/>
          <w:color w:val="auto"/>
          <w:sz w:val="32"/>
          <w:szCs w:val="32"/>
        </w:rPr>
        <w:t>；</w:t>
      </w:r>
    </w:p>
    <w:p>
      <w:pPr>
        <w:spacing w:line="360" w:lineRule="auto"/>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Q</w:t>
      </w:r>
      <w:r>
        <w:rPr>
          <w:rFonts w:hint="eastAsia" w:ascii="仿宋_GB2312" w:hAnsi="仿宋" w:eastAsia="仿宋_GB2312" w:cs="Times New Roman"/>
          <w:color w:val="auto"/>
          <w:sz w:val="32"/>
          <w:szCs w:val="32"/>
          <w:vertAlign w:val="subscript"/>
        </w:rPr>
        <w:t>1</w:t>
      </w:r>
      <w:r>
        <w:rPr>
          <w:rFonts w:hint="eastAsia" w:ascii="仿宋_GB2312" w:hAnsi="仿宋" w:eastAsia="仿宋_GB2312" w:cs="Times New Roman"/>
          <w:color w:val="auto"/>
          <w:sz w:val="32"/>
          <w:szCs w:val="32"/>
        </w:rPr>
        <w:t>-依据绿色策划评分表计算的绿色策划一般项得分；</w:t>
      </w:r>
    </w:p>
    <w:p>
      <w:pPr>
        <w:spacing w:line="360" w:lineRule="auto"/>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Q</w:t>
      </w:r>
      <w:r>
        <w:rPr>
          <w:rFonts w:hint="eastAsia" w:ascii="仿宋_GB2312" w:hAnsi="仿宋" w:eastAsia="仿宋_GB2312" w:cs="Times New Roman"/>
          <w:color w:val="auto"/>
          <w:sz w:val="32"/>
          <w:szCs w:val="32"/>
          <w:vertAlign w:val="subscript"/>
        </w:rPr>
        <w:t>2</w:t>
      </w:r>
      <w:r>
        <w:rPr>
          <w:rFonts w:hint="eastAsia" w:ascii="仿宋_GB2312" w:hAnsi="仿宋" w:eastAsia="仿宋_GB2312" w:cs="Times New Roman"/>
          <w:color w:val="auto"/>
          <w:sz w:val="32"/>
          <w:szCs w:val="32"/>
        </w:rPr>
        <w:t>-依据绿色设计评分表计算的绿色设计一般项得分；</w:t>
      </w:r>
    </w:p>
    <w:p>
      <w:pPr>
        <w:spacing w:line="360" w:lineRule="auto"/>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Q</w:t>
      </w:r>
      <w:r>
        <w:rPr>
          <w:rFonts w:hint="eastAsia" w:ascii="仿宋_GB2312" w:hAnsi="仿宋" w:eastAsia="仿宋_GB2312" w:cs="Times New Roman"/>
          <w:color w:val="auto"/>
          <w:sz w:val="32"/>
          <w:szCs w:val="32"/>
          <w:vertAlign w:val="subscript"/>
        </w:rPr>
        <w:t>3</w:t>
      </w:r>
      <w:r>
        <w:rPr>
          <w:rFonts w:hint="eastAsia" w:ascii="仿宋_GB2312" w:hAnsi="仿宋" w:eastAsia="仿宋_GB2312" w:cs="Times New Roman"/>
          <w:color w:val="auto"/>
          <w:sz w:val="32"/>
          <w:szCs w:val="32"/>
        </w:rPr>
        <w:t>-依据绿色施工评分表计算的绿色施工一般项得分；</w:t>
      </w:r>
    </w:p>
    <w:p>
      <w:pPr>
        <w:numPr>
          <w:ilvl w:val="0"/>
          <w:numId w:val="1"/>
        </w:numPr>
        <w:spacing w:line="360" w:lineRule="auto"/>
        <w:ind w:firstLine="640" w:firstLineChars="200"/>
        <w:rPr>
          <w:rFonts w:ascii="仿宋_GB2312" w:hAnsi="仿宋" w:eastAsia="仿宋_GB2312" w:cs="Times New Roman"/>
          <w:color w:val="auto"/>
          <w:sz w:val="32"/>
          <w:szCs w:val="32"/>
        </w:rPr>
      </w:pPr>
      <w:r>
        <w:rPr>
          <w:rFonts w:hint="eastAsia" w:ascii="仿宋_GB2312" w:hAnsi="仿宋" w:eastAsia="仿宋_GB2312" w:cs="Times New Roman"/>
          <w:color w:val="auto"/>
          <w:sz w:val="32"/>
          <w:szCs w:val="32"/>
        </w:rPr>
        <w:t>依据绿色策划、设计、施工评分表计算的优选项合计得分。</w:t>
      </w:r>
    </w:p>
    <w:p>
      <w:pPr>
        <w:pStyle w:val="22"/>
        <w:spacing w:line="360" w:lineRule="auto"/>
        <w:ind w:firstLine="560"/>
        <w:rPr>
          <w:rFonts w:ascii="仿宋_GB2312" w:hAnsi="仿宋" w:eastAsia="仿宋_GB2312" w:cs="Times New Roman"/>
          <w:color w:val="auto"/>
          <w:sz w:val="32"/>
          <w:szCs w:val="32"/>
        </w:rPr>
      </w:pPr>
      <w:r>
        <w:rPr>
          <w:rFonts w:hint="eastAsia" w:ascii="黑体" w:hAnsi="黑体" w:eastAsia="黑体" w:cs="黑体"/>
          <w:bCs/>
          <w:color w:val="auto"/>
          <w:sz w:val="32"/>
          <w:szCs w:val="32"/>
        </w:rPr>
        <w:t xml:space="preserve">第十三条 </w:t>
      </w:r>
      <w:r>
        <w:rPr>
          <w:rFonts w:hint="eastAsia" w:ascii="仿宋_GB2312" w:hAnsi="仿宋" w:eastAsia="仿宋_GB2312" w:cs="Times New Roman"/>
          <w:color w:val="auto"/>
          <w:sz w:val="32"/>
          <w:szCs w:val="32"/>
        </w:rPr>
        <w:t>绿色策划、绿色设计和绿色施工控制项全部满足后，根据一般项与优选项总得分，确定绿色建造评价等级，得分不小于80分为“一等成果”，小于80分不小于</w:t>
      </w:r>
      <w:r>
        <w:rPr>
          <w:rFonts w:hint="eastAsia" w:ascii="仿宋_GB2312" w:hAnsi="仿宋" w:eastAsia="仿宋_GB2312" w:cs="Times New Roman"/>
          <w:color w:val="auto"/>
          <w:sz w:val="32"/>
          <w:szCs w:val="32"/>
          <w:lang w:val="en-US" w:eastAsia="zh-CN"/>
        </w:rPr>
        <w:t>7</w:t>
      </w:r>
      <w:r>
        <w:rPr>
          <w:rFonts w:hint="eastAsia" w:ascii="仿宋_GB2312" w:hAnsi="仿宋" w:eastAsia="仿宋_GB2312" w:cs="Times New Roman"/>
          <w:color w:val="auto"/>
          <w:sz w:val="32"/>
          <w:szCs w:val="32"/>
        </w:rPr>
        <w:t>0分为“二等成果”，小于</w:t>
      </w:r>
      <w:r>
        <w:rPr>
          <w:rFonts w:hint="eastAsia" w:ascii="仿宋_GB2312" w:hAnsi="仿宋" w:eastAsia="仿宋_GB2312" w:cs="Times New Roman"/>
          <w:color w:val="auto"/>
          <w:sz w:val="32"/>
          <w:szCs w:val="32"/>
          <w:lang w:val="en-US" w:eastAsia="zh-CN"/>
        </w:rPr>
        <w:t>7</w:t>
      </w:r>
      <w:r>
        <w:rPr>
          <w:rFonts w:hint="eastAsia" w:ascii="仿宋_GB2312" w:hAnsi="仿宋" w:eastAsia="仿宋_GB2312" w:cs="Times New Roman"/>
          <w:color w:val="auto"/>
          <w:sz w:val="32"/>
          <w:szCs w:val="32"/>
        </w:rPr>
        <w:t>0分</w:t>
      </w:r>
      <w:r>
        <w:rPr>
          <w:rFonts w:hint="eastAsia" w:ascii="仿宋_GB2312" w:hAnsi="仿宋" w:eastAsia="仿宋_GB2312" w:cs="Times New Roman"/>
          <w:color w:val="auto"/>
          <w:sz w:val="32"/>
          <w:szCs w:val="32"/>
          <w:lang w:val="en-US" w:eastAsia="zh-CN"/>
        </w:rPr>
        <w:t>不</w:t>
      </w:r>
      <w:r>
        <w:rPr>
          <w:rFonts w:hint="eastAsia" w:ascii="仿宋_GB2312" w:hAnsi="仿宋" w:eastAsia="仿宋_GB2312" w:cs="Times New Roman"/>
          <w:color w:val="auto"/>
          <w:sz w:val="32"/>
          <w:szCs w:val="32"/>
        </w:rPr>
        <w:t>小于60分为“三等成果”。</w:t>
      </w:r>
    </w:p>
    <w:p>
      <w:pPr>
        <w:spacing w:before="156" w:beforeLines="50" w:line="360" w:lineRule="auto"/>
        <w:ind w:firstLine="643" w:firstLineChars="200"/>
        <w:jc w:val="left"/>
        <w:rPr>
          <w:rFonts w:hint="eastAsia" w:ascii="仿宋_GB2312" w:hAnsi="仿宋" w:eastAsia="仿宋_GB2312" w:cs="Times New Roman"/>
          <w:b/>
          <w:color w:val="auto"/>
          <w:sz w:val="32"/>
          <w:szCs w:val="32"/>
        </w:rPr>
      </w:pPr>
    </w:p>
    <w:p>
      <w:pPr>
        <w:spacing w:before="156" w:beforeLines="50" w:line="360" w:lineRule="auto"/>
        <w:ind w:firstLine="643" w:firstLineChars="200"/>
        <w:jc w:val="left"/>
        <w:rPr>
          <w:rFonts w:ascii="仿宋_GB2312" w:hAnsi="仿宋" w:eastAsia="仿宋_GB2312" w:cs="Times New Roman"/>
          <w:color w:val="auto"/>
          <w:sz w:val="32"/>
          <w:szCs w:val="32"/>
        </w:rPr>
      </w:pPr>
      <w:r>
        <w:rPr>
          <w:rFonts w:hint="eastAsia" w:ascii="仿宋_GB2312" w:hAnsi="仿宋" w:eastAsia="仿宋_GB2312" w:cs="Times New Roman"/>
          <w:b/>
          <w:color w:val="auto"/>
          <w:sz w:val="32"/>
          <w:szCs w:val="32"/>
        </w:rPr>
        <w:t>附件1</w:t>
      </w:r>
      <w:r>
        <w:rPr>
          <w:rFonts w:hint="eastAsia" w:ascii="仿宋_GB2312" w:hAnsi="仿宋" w:eastAsia="仿宋_GB2312" w:cs="Times New Roman"/>
          <w:color w:val="auto"/>
          <w:sz w:val="32"/>
          <w:szCs w:val="32"/>
        </w:rPr>
        <w:t>：绿色建造评价提供资料清单</w:t>
      </w:r>
    </w:p>
    <w:p>
      <w:pPr>
        <w:spacing w:before="156" w:beforeLines="50" w:line="360" w:lineRule="auto"/>
        <w:ind w:firstLine="643" w:firstLineChars="200"/>
        <w:jc w:val="left"/>
        <w:rPr>
          <w:rFonts w:ascii="仿宋_GB2312" w:hAnsi="仿宋" w:eastAsia="仿宋_GB2312" w:cs="Times New Roman"/>
          <w:color w:val="auto"/>
          <w:sz w:val="32"/>
          <w:szCs w:val="32"/>
        </w:rPr>
      </w:pPr>
      <w:r>
        <w:rPr>
          <w:rFonts w:hint="eastAsia" w:ascii="仿宋_GB2312" w:hAnsi="仿宋" w:eastAsia="仿宋_GB2312" w:cs="Times New Roman"/>
          <w:b/>
          <w:color w:val="auto"/>
          <w:sz w:val="32"/>
          <w:szCs w:val="32"/>
        </w:rPr>
        <w:t>附件2：</w:t>
      </w:r>
      <w:r>
        <w:rPr>
          <w:rFonts w:hint="eastAsia" w:ascii="仿宋_GB2312" w:hAnsi="仿宋" w:eastAsia="仿宋_GB2312" w:cs="Times New Roman"/>
          <w:color w:val="auto"/>
          <w:sz w:val="32"/>
          <w:szCs w:val="32"/>
        </w:rPr>
        <w:t>绿色策划评分表</w:t>
      </w:r>
    </w:p>
    <w:p>
      <w:pPr>
        <w:spacing w:before="156" w:beforeLines="50" w:line="360" w:lineRule="auto"/>
        <w:ind w:firstLine="643" w:firstLineChars="200"/>
        <w:jc w:val="left"/>
        <w:rPr>
          <w:rFonts w:ascii="仿宋_GB2312" w:hAnsi="仿宋" w:eastAsia="仿宋_GB2312" w:cs="Times New Roman"/>
          <w:color w:val="auto"/>
          <w:sz w:val="32"/>
          <w:szCs w:val="32"/>
        </w:rPr>
      </w:pPr>
      <w:r>
        <w:rPr>
          <w:rFonts w:hint="eastAsia" w:ascii="仿宋_GB2312" w:hAnsi="仿宋" w:eastAsia="仿宋_GB2312" w:cs="Times New Roman"/>
          <w:b/>
          <w:color w:val="auto"/>
          <w:sz w:val="32"/>
          <w:szCs w:val="32"/>
        </w:rPr>
        <w:t>附件3</w:t>
      </w:r>
      <w:r>
        <w:rPr>
          <w:rFonts w:hint="eastAsia" w:ascii="仿宋_GB2312" w:hAnsi="仿宋" w:eastAsia="仿宋_GB2312" w:cs="Times New Roman"/>
          <w:color w:val="auto"/>
          <w:sz w:val="32"/>
          <w:szCs w:val="32"/>
        </w:rPr>
        <w:t>：绿色设计评分表</w:t>
      </w:r>
    </w:p>
    <w:p>
      <w:pPr>
        <w:spacing w:before="156" w:beforeLines="50" w:line="360" w:lineRule="auto"/>
        <w:ind w:firstLine="643" w:firstLineChars="200"/>
        <w:jc w:val="left"/>
        <w:rPr>
          <w:rFonts w:ascii="仿宋_GB2312" w:hAnsi="仿宋" w:eastAsia="仿宋_GB2312" w:cs="Times New Roman"/>
          <w:color w:val="auto"/>
          <w:sz w:val="32"/>
          <w:szCs w:val="32"/>
        </w:rPr>
      </w:pPr>
      <w:r>
        <w:rPr>
          <w:rFonts w:hint="eastAsia" w:ascii="仿宋_GB2312" w:hAnsi="仿宋" w:eastAsia="仿宋_GB2312" w:cs="Times New Roman"/>
          <w:b/>
          <w:color w:val="auto"/>
          <w:sz w:val="32"/>
          <w:szCs w:val="32"/>
        </w:rPr>
        <w:t>附件4：</w:t>
      </w:r>
      <w:r>
        <w:rPr>
          <w:rFonts w:hint="eastAsia" w:ascii="仿宋_GB2312" w:hAnsi="仿宋" w:eastAsia="仿宋_GB2312" w:cs="Times New Roman"/>
          <w:color w:val="auto"/>
          <w:sz w:val="32"/>
          <w:szCs w:val="32"/>
        </w:rPr>
        <w:t>绿色施工评分表</w:t>
      </w:r>
    </w:p>
    <w:p>
      <w:pPr>
        <w:spacing w:before="156" w:beforeLines="50" w:line="360" w:lineRule="auto"/>
        <w:ind w:firstLine="643" w:firstLineChars="200"/>
        <w:jc w:val="left"/>
        <w:rPr>
          <w:rFonts w:ascii="仿宋_GB2312" w:hAnsi="仿宋" w:eastAsia="仿宋_GB2312" w:cs="Times New Roman"/>
          <w:color w:val="auto"/>
          <w:sz w:val="32"/>
          <w:szCs w:val="32"/>
        </w:rPr>
      </w:pPr>
      <w:r>
        <w:rPr>
          <w:rFonts w:hint="eastAsia" w:ascii="仿宋_GB2312" w:hAnsi="仿宋" w:eastAsia="仿宋_GB2312" w:cs="Times New Roman"/>
          <w:b/>
          <w:color w:val="auto"/>
          <w:sz w:val="32"/>
          <w:szCs w:val="32"/>
        </w:rPr>
        <w:t>附件5：</w:t>
      </w:r>
      <w:r>
        <w:rPr>
          <w:rFonts w:hint="eastAsia" w:ascii="仿宋_GB2312" w:hAnsi="仿宋" w:eastAsia="仿宋_GB2312" w:cs="Times New Roman"/>
          <w:color w:val="auto"/>
          <w:sz w:val="32"/>
          <w:szCs w:val="32"/>
        </w:rPr>
        <w:t>优选项评分表</w:t>
      </w:r>
    </w:p>
    <w:p>
      <w:pPr>
        <w:spacing w:before="156" w:beforeLines="50" w:line="360" w:lineRule="auto"/>
        <w:ind w:firstLine="643" w:firstLineChars="200"/>
        <w:jc w:val="left"/>
        <w:rPr>
          <w:rFonts w:ascii="仿宋_GB2312" w:hAnsi="仿宋" w:eastAsia="仿宋_GB2312" w:cs="Times New Roman"/>
          <w:color w:val="auto"/>
          <w:sz w:val="32"/>
          <w:szCs w:val="32"/>
        </w:rPr>
      </w:pPr>
      <w:r>
        <w:rPr>
          <w:rFonts w:hint="eastAsia" w:ascii="仿宋_GB2312" w:hAnsi="仿宋" w:eastAsia="仿宋_GB2312" w:cs="Times New Roman"/>
          <w:b/>
          <w:color w:val="auto"/>
          <w:sz w:val="32"/>
          <w:szCs w:val="32"/>
        </w:rPr>
        <w:t>附件6：</w:t>
      </w:r>
      <w:r>
        <w:rPr>
          <w:rFonts w:hint="eastAsia" w:ascii="仿宋_GB2312" w:hAnsi="仿宋" w:eastAsia="仿宋_GB2312" w:cs="Times New Roman"/>
          <w:color w:val="auto"/>
          <w:sz w:val="32"/>
          <w:szCs w:val="32"/>
        </w:rPr>
        <w:t>评价结果汇总表</w:t>
      </w:r>
    </w:p>
    <w:p>
      <w:pPr>
        <w:rPr>
          <w:rFonts w:ascii="宋体" w:hAnsi="宋体" w:cs="宋体"/>
          <w:color w:val="auto"/>
          <w:kern w:val="0"/>
          <w:sz w:val="24"/>
        </w:rPr>
      </w:pPr>
      <w:r>
        <w:rPr>
          <w:rFonts w:hint="eastAsia" w:ascii="宋体" w:hAnsi="宋体" w:cs="宋体"/>
          <w:color w:val="auto"/>
          <w:kern w:val="0"/>
          <w:sz w:val="24"/>
        </w:rPr>
        <w:br w:type="page"/>
      </w:r>
    </w:p>
    <w:p>
      <w:pPr>
        <w:spacing w:before="240" w:line="358" w:lineRule="auto"/>
        <w:ind w:right="91"/>
        <w:rPr>
          <w:rFonts w:ascii="黑体" w:hAnsi="黑体" w:eastAsia="黑体" w:cs="黑体"/>
          <w:b/>
          <w:color w:val="auto"/>
          <w:kern w:val="0"/>
          <w:sz w:val="28"/>
          <w:szCs w:val="28"/>
        </w:rPr>
      </w:pPr>
      <w:r>
        <w:rPr>
          <w:rFonts w:hint="eastAsia" w:ascii="黑体" w:hAnsi="黑体" w:eastAsia="黑体" w:cs="黑体"/>
          <w:b/>
          <w:color w:val="auto"/>
          <w:kern w:val="0"/>
          <w:sz w:val="28"/>
          <w:szCs w:val="28"/>
        </w:rPr>
        <w:t>附件1</w:t>
      </w:r>
    </w:p>
    <w:p>
      <w:pPr>
        <w:spacing w:before="240" w:after="156" w:afterLines="50" w:line="358" w:lineRule="auto"/>
        <w:ind w:right="91"/>
        <w:jc w:val="center"/>
        <w:rPr>
          <w:rFonts w:ascii="宋体" w:hAnsi="宋体"/>
          <w:b/>
          <w:color w:val="auto"/>
          <w:kern w:val="0"/>
          <w:sz w:val="32"/>
          <w:szCs w:val="32"/>
        </w:rPr>
      </w:pPr>
      <w:r>
        <w:rPr>
          <w:rFonts w:hint="eastAsia" w:ascii="宋体" w:hAnsi="宋体"/>
          <w:b/>
          <w:color w:val="auto"/>
          <w:kern w:val="0"/>
          <w:sz w:val="32"/>
          <w:szCs w:val="32"/>
        </w:rPr>
        <w:t>资料清单</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74"/>
        <w:gridCol w:w="6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50" w:type="dxa"/>
            <w:gridSpan w:val="2"/>
            <w:shd w:val="clear" w:color="auto" w:fill="auto"/>
            <w:vAlign w:val="center"/>
          </w:tcPr>
          <w:p>
            <w:pPr>
              <w:snapToGrid w:val="0"/>
              <w:jc w:val="center"/>
              <w:rPr>
                <w:rFonts w:cs="宋体" w:asciiTheme="minorEastAsia" w:hAnsiTheme="minorEastAsia"/>
                <w:b/>
                <w:color w:val="auto"/>
                <w:sz w:val="24"/>
              </w:rPr>
            </w:pPr>
            <w:r>
              <w:rPr>
                <w:rFonts w:hint="eastAsia" w:cs="宋体" w:asciiTheme="minorEastAsia" w:hAnsiTheme="minorEastAsia"/>
                <w:b/>
                <w:color w:val="auto"/>
                <w:sz w:val="24"/>
                <w:lang w:eastAsia="zh-CN"/>
              </w:rPr>
              <w:t>资料</w:t>
            </w:r>
            <w:r>
              <w:rPr>
                <w:rFonts w:cs="宋体" w:asciiTheme="minorEastAsia" w:hAnsiTheme="minorEastAsia"/>
                <w:b/>
                <w:color w:val="auto"/>
                <w:sz w:val="24"/>
              </w:rPr>
              <w:t>分类</w:t>
            </w:r>
          </w:p>
        </w:tc>
        <w:tc>
          <w:tcPr>
            <w:tcW w:w="6610" w:type="dxa"/>
            <w:shd w:val="clear" w:color="auto" w:fill="auto"/>
            <w:vAlign w:val="center"/>
          </w:tcPr>
          <w:p>
            <w:pPr>
              <w:snapToGrid w:val="0"/>
              <w:jc w:val="center"/>
              <w:rPr>
                <w:rFonts w:cs="宋体" w:asciiTheme="minorEastAsia" w:hAnsiTheme="minorEastAsia"/>
                <w:b/>
                <w:color w:val="auto"/>
                <w:sz w:val="24"/>
              </w:rPr>
            </w:pPr>
            <w:r>
              <w:rPr>
                <w:rFonts w:hint="eastAsia" w:cs="宋体" w:asciiTheme="minorEastAsia" w:hAnsiTheme="minorEastAsia"/>
                <w:b/>
                <w:color w:val="auto"/>
                <w:sz w:val="24"/>
                <w:lang w:eastAsia="zh-CN"/>
              </w:rPr>
              <w:t>资料</w:t>
            </w:r>
            <w:r>
              <w:rPr>
                <w:rFonts w:cs="宋体" w:asciiTheme="minorEastAsia" w:hAnsiTheme="minorEastAsia"/>
                <w:b/>
                <w:color w:val="auto"/>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676" w:type="dxa"/>
            <w:vMerge w:val="restart"/>
            <w:vAlign w:val="center"/>
          </w:tcPr>
          <w:p>
            <w:pPr>
              <w:snapToGrid w:val="0"/>
              <w:jc w:val="center"/>
              <w:rPr>
                <w:rFonts w:cs="宋体" w:asciiTheme="minorEastAsia" w:hAnsiTheme="minorEastAsia"/>
                <w:color w:val="auto"/>
                <w:sz w:val="24"/>
              </w:rPr>
            </w:pPr>
            <w:r>
              <w:rPr>
                <w:rFonts w:cs="宋体" w:asciiTheme="minorEastAsia" w:hAnsiTheme="minorEastAsia"/>
                <w:color w:val="auto"/>
                <w:sz w:val="24"/>
              </w:rPr>
              <w:t>基本资料</w:t>
            </w:r>
          </w:p>
        </w:tc>
        <w:tc>
          <w:tcPr>
            <w:tcW w:w="1774" w:type="dxa"/>
            <w:vMerge w:val="restart"/>
            <w:vAlign w:val="center"/>
          </w:tcPr>
          <w:p>
            <w:pPr>
              <w:snapToGrid w:val="0"/>
              <w:jc w:val="center"/>
              <w:rPr>
                <w:rFonts w:cs="宋体" w:asciiTheme="minorEastAsia" w:hAnsiTheme="minorEastAsia"/>
                <w:color w:val="auto"/>
                <w:sz w:val="24"/>
              </w:rPr>
            </w:pPr>
            <w:r>
              <w:rPr>
                <w:rFonts w:hint="eastAsia" w:cs="宋体" w:asciiTheme="minorEastAsia" w:hAnsiTheme="minorEastAsia"/>
                <w:color w:val="auto"/>
                <w:sz w:val="24"/>
                <w:lang w:eastAsia="zh-CN"/>
              </w:rPr>
              <w:t>施工</w:t>
            </w:r>
            <w:r>
              <w:rPr>
                <w:rFonts w:cs="宋体" w:asciiTheme="minorEastAsia" w:hAnsiTheme="minorEastAsia"/>
                <w:color w:val="auto"/>
                <w:sz w:val="24"/>
              </w:rPr>
              <w:t>审</w:t>
            </w:r>
          </w:p>
          <w:p>
            <w:pPr>
              <w:snapToGrid w:val="0"/>
              <w:jc w:val="center"/>
              <w:rPr>
                <w:rFonts w:cs="宋体" w:asciiTheme="minorEastAsia" w:hAnsiTheme="minorEastAsia"/>
                <w:color w:val="auto"/>
                <w:sz w:val="24"/>
              </w:rPr>
            </w:pPr>
            <w:r>
              <w:rPr>
                <w:rFonts w:cs="宋体" w:asciiTheme="minorEastAsia" w:hAnsiTheme="minorEastAsia"/>
                <w:color w:val="auto"/>
                <w:sz w:val="24"/>
              </w:rPr>
              <w:t>批文件</w:t>
            </w: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施工</w:t>
            </w:r>
            <w:r>
              <w:rPr>
                <w:rFonts w:hint="eastAsia" w:cs="宋体" w:asciiTheme="minorEastAsia" w:hAnsiTheme="minorEastAsia"/>
                <w:color w:val="auto"/>
                <w:sz w:val="24"/>
                <w:lang w:eastAsia="zh-CN"/>
              </w:rPr>
              <w:t>许可</w:t>
            </w:r>
            <w:r>
              <w:rPr>
                <w:rFonts w:hint="eastAsia" w:cs="宋体" w:asciiTheme="minorEastAsia" w:hAnsiTheme="minorEastAsia"/>
                <w:color w:val="auto"/>
                <w:sz w:val="24"/>
              </w:rPr>
              <w:t>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continue"/>
            <w:vAlign w:val="center"/>
          </w:tcPr>
          <w:p>
            <w:pPr>
              <w:snapToGrid w:val="0"/>
              <w:jc w:val="center"/>
              <w:rPr>
                <w:rFonts w:cs="宋体" w:asciiTheme="minorEastAsia" w:hAnsiTheme="minorEastAsia"/>
                <w:color w:val="auto"/>
                <w:sz w:val="24"/>
              </w:rPr>
            </w:pPr>
          </w:p>
        </w:tc>
        <w:tc>
          <w:tcPr>
            <w:tcW w:w="6610" w:type="dxa"/>
            <w:vAlign w:val="center"/>
          </w:tcPr>
          <w:p>
            <w:pPr>
              <w:snapToGrid w:val="0"/>
              <w:jc w:val="left"/>
              <w:rPr>
                <w:rFonts w:hint="eastAsia" w:cs="宋体" w:asciiTheme="minorEastAsia" w:hAnsiTheme="minorEastAsia" w:eastAsiaTheme="minorEastAsia"/>
                <w:color w:val="auto"/>
                <w:sz w:val="24"/>
                <w:lang w:eastAsia="zh-CN"/>
              </w:rPr>
            </w:pPr>
            <w:r>
              <w:rPr>
                <w:rFonts w:hint="eastAsia" w:cs="宋体" w:asciiTheme="minorEastAsia" w:hAnsiTheme="minorEastAsia"/>
                <w:color w:val="auto"/>
                <w:sz w:val="24"/>
              </w:rPr>
              <w:t>施工图审查</w:t>
            </w:r>
            <w:r>
              <w:rPr>
                <w:rFonts w:hint="eastAsia" w:cs="宋体" w:asciiTheme="minorEastAsia" w:hAnsiTheme="minorEastAsia"/>
                <w:color w:val="auto"/>
                <w:sz w:val="24"/>
                <w:lang w:eastAsia="zh-CN"/>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restart"/>
            <w:vAlign w:val="center"/>
          </w:tcPr>
          <w:p>
            <w:pPr>
              <w:snapToGrid w:val="0"/>
              <w:jc w:val="center"/>
              <w:rPr>
                <w:rFonts w:cs="宋体" w:asciiTheme="minorEastAsia" w:hAnsiTheme="minorEastAsia"/>
                <w:color w:val="auto"/>
                <w:sz w:val="24"/>
              </w:rPr>
            </w:pPr>
            <w:r>
              <w:rPr>
                <w:rFonts w:cs="宋体" w:asciiTheme="minorEastAsia" w:hAnsiTheme="minorEastAsia"/>
                <w:color w:val="auto"/>
                <w:sz w:val="24"/>
              </w:rPr>
              <w:t>建设</w:t>
            </w:r>
            <w:r>
              <w:rPr>
                <w:rFonts w:hint="eastAsia" w:cs="宋体" w:asciiTheme="minorEastAsia" w:hAnsiTheme="minorEastAsia"/>
                <w:color w:val="auto"/>
                <w:sz w:val="24"/>
              </w:rPr>
              <w:t>、</w:t>
            </w:r>
            <w:r>
              <w:rPr>
                <w:rFonts w:cs="宋体" w:asciiTheme="minorEastAsia" w:hAnsiTheme="minorEastAsia"/>
                <w:color w:val="auto"/>
                <w:sz w:val="24"/>
              </w:rPr>
              <w:t>设计</w:t>
            </w:r>
            <w:r>
              <w:rPr>
                <w:rFonts w:hint="eastAsia" w:cs="宋体" w:asciiTheme="minorEastAsia" w:hAnsiTheme="minorEastAsia"/>
                <w:color w:val="auto"/>
                <w:sz w:val="24"/>
              </w:rPr>
              <w:t>、施工、监理</w:t>
            </w:r>
          </w:p>
          <w:p>
            <w:pPr>
              <w:snapToGrid w:val="0"/>
              <w:jc w:val="center"/>
              <w:rPr>
                <w:rFonts w:cs="宋体" w:asciiTheme="minorEastAsia" w:hAnsiTheme="minorEastAsia"/>
                <w:color w:val="auto"/>
                <w:sz w:val="24"/>
              </w:rPr>
            </w:pPr>
            <w:r>
              <w:rPr>
                <w:rFonts w:cs="宋体" w:asciiTheme="minorEastAsia" w:hAnsiTheme="minorEastAsia"/>
                <w:color w:val="auto"/>
                <w:sz w:val="24"/>
              </w:rPr>
              <w:t>单位文件</w:t>
            </w: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各</w:t>
            </w:r>
            <w:r>
              <w:rPr>
                <w:rFonts w:cs="宋体" w:asciiTheme="minorEastAsia" w:hAnsiTheme="minorEastAsia"/>
                <w:color w:val="auto"/>
                <w:sz w:val="24"/>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continue"/>
            <w:vAlign w:val="center"/>
          </w:tcPr>
          <w:p>
            <w:pPr>
              <w:snapToGrid w:val="0"/>
              <w:jc w:val="center"/>
              <w:rPr>
                <w:rFonts w:cs="宋体" w:asciiTheme="minorEastAsia" w:hAnsiTheme="minorEastAsia"/>
                <w:color w:val="auto"/>
                <w:sz w:val="24"/>
              </w:rPr>
            </w:pPr>
          </w:p>
        </w:tc>
        <w:tc>
          <w:tcPr>
            <w:tcW w:w="6610" w:type="dxa"/>
            <w:vAlign w:val="center"/>
          </w:tcPr>
          <w:p>
            <w:pPr>
              <w:snapToGrid w:val="0"/>
              <w:rPr>
                <w:rFonts w:cs="宋体" w:asciiTheme="minorEastAsia" w:hAnsiTheme="minorEastAsia"/>
                <w:color w:val="auto"/>
                <w:sz w:val="24"/>
              </w:rPr>
            </w:pPr>
            <w:r>
              <w:rPr>
                <w:rFonts w:hint="eastAsia" w:cs="宋体" w:asciiTheme="minorEastAsia" w:hAnsiTheme="minorEastAsia"/>
                <w:color w:val="auto"/>
                <w:sz w:val="24"/>
              </w:rPr>
              <w:t>各单位相应</w:t>
            </w:r>
            <w:r>
              <w:rPr>
                <w:rFonts w:cs="宋体" w:asciiTheme="minorEastAsia" w:hAnsiTheme="minorEastAsia"/>
                <w:color w:val="auto"/>
                <w:sz w:val="24"/>
              </w:rPr>
              <w:t>资质证明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restart"/>
            <w:vAlign w:val="center"/>
          </w:tcPr>
          <w:p>
            <w:pPr>
              <w:snapToGrid w:val="0"/>
              <w:jc w:val="center"/>
              <w:rPr>
                <w:rFonts w:cs="宋体" w:asciiTheme="minorEastAsia" w:hAnsiTheme="minorEastAsia"/>
                <w:color w:val="auto"/>
                <w:sz w:val="24"/>
              </w:rPr>
            </w:pPr>
            <w:r>
              <w:rPr>
                <w:rFonts w:hint="eastAsia" w:cs="宋体" w:asciiTheme="minorEastAsia" w:hAnsiTheme="minorEastAsia"/>
                <w:color w:val="auto"/>
                <w:sz w:val="24"/>
              </w:rPr>
              <w:t>技术资料</w:t>
            </w:r>
          </w:p>
        </w:tc>
        <w:tc>
          <w:tcPr>
            <w:tcW w:w="1774" w:type="dxa"/>
            <w:vMerge w:val="restart"/>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申报文件</w:t>
            </w: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建设工程绿色建造水平评价申报表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continue"/>
            <w:vAlign w:val="center"/>
          </w:tcPr>
          <w:p>
            <w:pPr>
              <w:snapToGrid w:val="0"/>
              <w:jc w:val="left"/>
              <w:rPr>
                <w:rFonts w:cs="宋体" w:asciiTheme="minorEastAsia" w:hAnsiTheme="minorEastAsia"/>
                <w:color w:val="auto"/>
                <w:sz w:val="24"/>
              </w:rPr>
            </w:pP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绿色建造汇报PPT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continue"/>
            <w:vAlign w:val="center"/>
          </w:tcPr>
          <w:p>
            <w:pPr>
              <w:snapToGrid w:val="0"/>
              <w:jc w:val="left"/>
              <w:rPr>
                <w:rFonts w:cs="宋体" w:asciiTheme="minorEastAsia" w:hAnsiTheme="minorEastAsia"/>
                <w:color w:val="auto"/>
                <w:sz w:val="24"/>
              </w:rPr>
            </w:pP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优选项评分表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continue"/>
            <w:vAlign w:val="center"/>
          </w:tcPr>
          <w:p>
            <w:pPr>
              <w:snapToGrid w:val="0"/>
              <w:jc w:val="left"/>
              <w:rPr>
                <w:rFonts w:cs="宋体" w:asciiTheme="minorEastAsia" w:hAnsiTheme="minorEastAsia"/>
                <w:color w:val="auto"/>
                <w:sz w:val="24"/>
              </w:rPr>
            </w:pP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评价结果汇总表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restart"/>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绿色策划文件</w:t>
            </w: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绿色策划评分表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continue"/>
            <w:vAlign w:val="center"/>
          </w:tcPr>
          <w:p>
            <w:pPr>
              <w:snapToGrid w:val="0"/>
              <w:jc w:val="left"/>
              <w:rPr>
                <w:rFonts w:cs="宋体" w:asciiTheme="minorEastAsia" w:hAnsiTheme="minorEastAsia"/>
                <w:color w:val="auto"/>
                <w:sz w:val="24"/>
              </w:rPr>
            </w:pP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申报单位提供书面绿色建造策划过程情况报告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continue"/>
            <w:vAlign w:val="center"/>
          </w:tcPr>
          <w:p>
            <w:pPr>
              <w:snapToGrid w:val="0"/>
              <w:jc w:val="left"/>
              <w:rPr>
                <w:rFonts w:cs="宋体" w:asciiTheme="minorEastAsia" w:hAnsiTheme="minorEastAsia"/>
                <w:color w:val="auto"/>
                <w:sz w:val="24"/>
              </w:rPr>
            </w:pP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绿色建造策划方案（可附在情况报告内）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restart"/>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绿色设计文件</w:t>
            </w: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绿色设计评分表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continue"/>
            <w:vAlign w:val="center"/>
          </w:tcPr>
          <w:p>
            <w:pPr>
              <w:snapToGrid w:val="0"/>
              <w:jc w:val="left"/>
              <w:rPr>
                <w:rFonts w:cs="宋体" w:asciiTheme="minorEastAsia" w:hAnsiTheme="minorEastAsia"/>
                <w:color w:val="auto"/>
                <w:sz w:val="24"/>
              </w:rPr>
            </w:pP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设计单位提供书面绿色建造设计情况报告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restart"/>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绿色施工文件</w:t>
            </w: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绿色施工评分表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continue"/>
            <w:vAlign w:val="center"/>
          </w:tcPr>
          <w:p>
            <w:pPr>
              <w:snapToGrid w:val="0"/>
              <w:jc w:val="left"/>
              <w:rPr>
                <w:rFonts w:cs="宋体" w:asciiTheme="minorEastAsia" w:hAnsiTheme="minorEastAsia"/>
                <w:color w:val="auto"/>
                <w:sz w:val="24"/>
              </w:rPr>
            </w:pP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施工单位提供书面绿色建造施工情况报告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continue"/>
            <w:vAlign w:val="center"/>
          </w:tcPr>
          <w:p>
            <w:pPr>
              <w:snapToGrid w:val="0"/>
              <w:jc w:val="left"/>
              <w:rPr>
                <w:rFonts w:cs="宋体" w:asciiTheme="minorEastAsia" w:hAnsiTheme="minorEastAsia"/>
                <w:color w:val="auto"/>
                <w:sz w:val="24"/>
              </w:rPr>
            </w:pPr>
          </w:p>
        </w:tc>
        <w:tc>
          <w:tcPr>
            <w:tcW w:w="6610" w:type="dxa"/>
            <w:vAlign w:val="center"/>
          </w:tcPr>
          <w:p>
            <w:pPr>
              <w:snapToGrid w:val="0"/>
              <w:jc w:val="left"/>
              <w:rPr>
                <w:rFonts w:hint="eastAsia" w:cs="宋体" w:asciiTheme="minorEastAsia" w:hAnsiTheme="minorEastAsia" w:eastAsiaTheme="minorEastAsia"/>
                <w:color w:val="auto"/>
                <w:sz w:val="24"/>
                <w:lang w:eastAsia="zh-CN"/>
              </w:rPr>
            </w:pPr>
            <w:r>
              <w:rPr>
                <w:rFonts w:hint="eastAsia" w:cs="宋体" w:asciiTheme="minorEastAsia" w:hAnsiTheme="minorEastAsia"/>
                <w:color w:val="auto"/>
                <w:sz w:val="24"/>
                <w:lang w:eastAsia="zh-CN"/>
              </w:rPr>
              <w:t>绿色施工相关记录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restart"/>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其他资料</w:t>
            </w:r>
          </w:p>
        </w:tc>
        <w:tc>
          <w:tcPr>
            <w:tcW w:w="6610" w:type="dxa"/>
            <w:vAlign w:val="center"/>
          </w:tcPr>
          <w:p>
            <w:pPr>
              <w:snapToGrid w:val="0"/>
              <w:jc w:val="left"/>
              <w:rPr>
                <w:rFonts w:hint="eastAsia" w:cs="宋体" w:asciiTheme="minorEastAsia" w:hAnsiTheme="minorEastAsia" w:eastAsiaTheme="minorEastAsia"/>
                <w:color w:val="auto"/>
                <w:sz w:val="24"/>
                <w:lang w:eastAsia="zh-CN"/>
              </w:rPr>
            </w:pPr>
            <w:r>
              <w:rPr>
                <w:rFonts w:hint="eastAsia" w:cs="宋体" w:asciiTheme="minorEastAsia" w:hAnsiTheme="minorEastAsia"/>
                <w:color w:val="auto"/>
                <w:sz w:val="24"/>
                <w:lang w:eastAsia="zh-CN"/>
              </w:rPr>
              <w:t>施工</w:t>
            </w:r>
            <w:r>
              <w:rPr>
                <w:rFonts w:hint="eastAsia" w:cs="宋体" w:asciiTheme="minorEastAsia" w:hAnsiTheme="minorEastAsia"/>
                <w:color w:val="auto"/>
                <w:sz w:val="24"/>
              </w:rPr>
              <w:t>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6" w:type="dxa"/>
            <w:vMerge w:val="continue"/>
            <w:vAlign w:val="center"/>
          </w:tcPr>
          <w:p>
            <w:pPr>
              <w:snapToGrid w:val="0"/>
              <w:jc w:val="center"/>
              <w:rPr>
                <w:rFonts w:cs="宋体" w:asciiTheme="minorEastAsia" w:hAnsiTheme="minorEastAsia"/>
                <w:color w:val="auto"/>
                <w:sz w:val="24"/>
              </w:rPr>
            </w:pPr>
          </w:p>
        </w:tc>
        <w:tc>
          <w:tcPr>
            <w:tcW w:w="1774" w:type="dxa"/>
            <w:vMerge w:val="continue"/>
            <w:vAlign w:val="center"/>
          </w:tcPr>
          <w:p>
            <w:pPr>
              <w:snapToGrid w:val="0"/>
              <w:jc w:val="left"/>
              <w:rPr>
                <w:rFonts w:cs="宋体" w:asciiTheme="minorEastAsia" w:hAnsiTheme="minorEastAsia"/>
                <w:color w:val="auto"/>
                <w:sz w:val="24"/>
              </w:rPr>
            </w:pPr>
          </w:p>
        </w:tc>
        <w:tc>
          <w:tcPr>
            <w:tcW w:w="6610" w:type="dxa"/>
            <w:vAlign w:val="center"/>
          </w:tcPr>
          <w:p>
            <w:pPr>
              <w:snapToGrid w:val="0"/>
              <w:jc w:val="left"/>
              <w:rPr>
                <w:rFonts w:cs="宋体" w:asciiTheme="minorEastAsia" w:hAnsiTheme="minorEastAsia"/>
                <w:color w:val="auto"/>
                <w:sz w:val="24"/>
              </w:rPr>
            </w:pPr>
            <w:r>
              <w:rPr>
                <w:rFonts w:hint="eastAsia" w:cs="宋体" w:asciiTheme="minorEastAsia" w:hAnsiTheme="minorEastAsia"/>
                <w:color w:val="auto"/>
                <w:sz w:val="24"/>
              </w:rPr>
              <w:t>采用BIM的相关技术文件</w:t>
            </w:r>
          </w:p>
        </w:tc>
      </w:tr>
    </w:tbl>
    <w:p>
      <w:pPr>
        <w:rPr>
          <w:rFonts w:ascii="宋体" w:hAnsi="宋体" w:cs="宋体"/>
          <w:color w:val="auto"/>
          <w:kern w:val="0"/>
          <w:sz w:val="24"/>
        </w:rPr>
      </w:pPr>
      <w:r>
        <w:rPr>
          <w:rFonts w:hint="eastAsia" w:ascii="宋体" w:hAnsi="宋体" w:cs="宋体"/>
          <w:color w:val="auto"/>
          <w:kern w:val="0"/>
          <w:sz w:val="24"/>
        </w:rPr>
        <w:br w:type="page"/>
      </w:r>
    </w:p>
    <w:p>
      <w:pPr>
        <w:spacing w:before="240" w:line="358" w:lineRule="auto"/>
        <w:ind w:right="91"/>
        <w:rPr>
          <w:rFonts w:ascii="黑体" w:hAnsi="黑体" w:eastAsia="黑体" w:cs="黑体"/>
          <w:b/>
          <w:color w:val="auto"/>
          <w:kern w:val="0"/>
          <w:sz w:val="28"/>
          <w:szCs w:val="28"/>
        </w:rPr>
      </w:pPr>
      <w:r>
        <w:rPr>
          <w:rFonts w:hint="eastAsia" w:ascii="黑体" w:hAnsi="黑体" w:eastAsia="黑体" w:cs="黑体"/>
          <w:b/>
          <w:color w:val="auto"/>
          <w:kern w:val="0"/>
          <w:sz w:val="28"/>
          <w:szCs w:val="28"/>
        </w:rPr>
        <w:t>附件2</w:t>
      </w:r>
    </w:p>
    <w:p>
      <w:pPr>
        <w:spacing w:line="360" w:lineRule="auto"/>
        <w:jc w:val="center"/>
        <w:rPr>
          <w:rFonts w:ascii="宋体" w:hAnsi="宋体"/>
          <w:b/>
          <w:color w:val="auto"/>
          <w:kern w:val="0"/>
          <w:sz w:val="32"/>
          <w:szCs w:val="32"/>
        </w:rPr>
      </w:pPr>
      <w:r>
        <w:rPr>
          <w:rFonts w:hint="eastAsia" w:ascii="宋体" w:hAnsi="宋体"/>
          <w:b/>
          <w:color w:val="auto"/>
          <w:kern w:val="0"/>
          <w:sz w:val="32"/>
          <w:szCs w:val="32"/>
        </w:rPr>
        <w:t>绿色策划评分表</w:t>
      </w:r>
    </w:p>
    <w:tbl>
      <w:tblPr>
        <w:tblStyle w:val="9"/>
        <w:tblW w:w="8522" w:type="dxa"/>
        <w:jc w:val="center"/>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Layout w:type="fixed"/>
        <w:tblCellMar>
          <w:top w:w="0" w:type="dxa"/>
          <w:left w:w="108" w:type="dxa"/>
          <w:bottom w:w="0" w:type="dxa"/>
          <w:right w:w="108" w:type="dxa"/>
        </w:tblCellMar>
      </w:tblPr>
      <w:tblGrid>
        <w:gridCol w:w="645"/>
        <w:gridCol w:w="3508"/>
        <w:gridCol w:w="2432"/>
        <w:gridCol w:w="856"/>
        <w:gridCol w:w="1081"/>
      </w:tblGrid>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45" w:type="dxa"/>
            <w:tcBorders>
              <w:tl2br w:val="nil"/>
              <w:tr2bl w:val="nil"/>
            </w:tcBorders>
            <w:vAlign w:val="center"/>
          </w:tcPr>
          <w:p>
            <w:pPr>
              <w:adjustRightInd w:val="0"/>
              <w:snapToGrid w:val="0"/>
              <w:spacing w:line="300" w:lineRule="exact"/>
              <w:jc w:val="center"/>
              <w:rPr>
                <w:rFonts w:ascii="宋体" w:hAnsi="宋体" w:eastAsia="宋体" w:cs="宋体"/>
                <w:b/>
                <w:bCs/>
                <w:color w:val="auto"/>
                <w:kern w:val="0"/>
                <w:szCs w:val="21"/>
                <w:lang w:eastAsia="en-US"/>
              </w:rPr>
            </w:pPr>
            <w:r>
              <w:rPr>
                <w:rFonts w:hint="eastAsia" w:ascii="宋体" w:hAnsi="宋体" w:eastAsia="宋体" w:cs="宋体"/>
                <w:b/>
                <w:bCs/>
                <w:color w:val="auto"/>
                <w:kern w:val="0"/>
                <w:szCs w:val="21"/>
                <w:lang w:eastAsia="en-US"/>
              </w:rPr>
              <w:t>序号</w:t>
            </w:r>
          </w:p>
        </w:tc>
        <w:tc>
          <w:tcPr>
            <w:tcW w:w="3508" w:type="dxa"/>
            <w:tcBorders>
              <w:tl2br w:val="nil"/>
              <w:tr2bl w:val="nil"/>
            </w:tcBorders>
            <w:vAlign w:val="center"/>
          </w:tcPr>
          <w:p>
            <w:pPr>
              <w:adjustRightInd w:val="0"/>
              <w:snapToGrid w:val="0"/>
              <w:spacing w:line="300" w:lineRule="exact"/>
              <w:jc w:val="center"/>
              <w:rPr>
                <w:rFonts w:ascii="宋体" w:hAnsi="宋体" w:eastAsia="宋体" w:cs="宋体"/>
                <w:b/>
                <w:bCs/>
                <w:color w:val="auto"/>
                <w:kern w:val="0"/>
                <w:szCs w:val="21"/>
                <w:lang w:eastAsia="en-US"/>
              </w:rPr>
            </w:pPr>
            <w:r>
              <w:rPr>
                <w:rFonts w:hint="eastAsia" w:ascii="宋体" w:hAnsi="宋体" w:eastAsia="宋体" w:cs="宋体"/>
                <w:b/>
                <w:bCs/>
                <w:color w:val="auto"/>
                <w:kern w:val="0"/>
                <w:szCs w:val="21"/>
                <w:lang w:eastAsia="en-US"/>
              </w:rPr>
              <w:t>评价内容</w:t>
            </w:r>
          </w:p>
        </w:tc>
        <w:tc>
          <w:tcPr>
            <w:tcW w:w="2432" w:type="dxa"/>
            <w:tcBorders>
              <w:tl2br w:val="nil"/>
              <w:tr2bl w:val="nil"/>
            </w:tcBorders>
            <w:vAlign w:val="center"/>
          </w:tcPr>
          <w:p>
            <w:pPr>
              <w:adjustRightInd w:val="0"/>
              <w:snapToGrid w:val="0"/>
              <w:spacing w:line="300" w:lineRule="exact"/>
              <w:jc w:val="center"/>
              <w:rPr>
                <w:rFonts w:ascii="宋体" w:hAnsi="宋体" w:eastAsia="宋体" w:cs="宋体"/>
                <w:b/>
                <w:bCs/>
                <w:color w:val="auto"/>
                <w:kern w:val="0"/>
                <w:szCs w:val="21"/>
                <w:lang w:eastAsia="en-US"/>
              </w:rPr>
            </w:pPr>
            <w:r>
              <w:rPr>
                <w:rFonts w:hint="eastAsia" w:ascii="宋体" w:hAnsi="宋体" w:eastAsia="宋体" w:cs="宋体"/>
                <w:b/>
                <w:bCs/>
                <w:color w:val="auto"/>
                <w:kern w:val="0"/>
                <w:szCs w:val="21"/>
                <w:lang w:eastAsia="en-US"/>
              </w:rPr>
              <w:t>评价方法</w:t>
            </w:r>
          </w:p>
        </w:tc>
        <w:tc>
          <w:tcPr>
            <w:tcW w:w="856" w:type="dxa"/>
            <w:tcBorders>
              <w:tl2br w:val="nil"/>
              <w:tr2bl w:val="nil"/>
            </w:tcBorders>
            <w:vAlign w:val="center"/>
          </w:tcPr>
          <w:p>
            <w:pPr>
              <w:adjustRightInd w:val="0"/>
              <w:snapToGrid w:val="0"/>
              <w:spacing w:line="300" w:lineRule="exact"/>
              <w:jc w:val="center"/>
              <w:rPr>
                <w:rFonts w:hint="default" w:ascii="宋体" w:hAnsi="宋体" w:eastAsia="宋体" w:cs="宋体"/>
                <w:b/>
                <w:bCs/>
                <w:color w:val="auto"/>
                <w:kern w:val="0"/>
                <w:szCs w:val="21"/>
                <w:lang w:val="en-US" w:eastAsia="zh-CN"/>
              </w:rPr>
            </w:pPr>
            <w:r>
              <w:rPr>
                <w:rFonts w:hint="eastAsia" w:ascii="宋体" w:hAnsi="宋体" w:eastAsia="宋体" w:cs="宋体"/>
                <w:b/>
                <w:bCs/>
                <w:color w:val="auto"/>
                <w:kern w:val="0"/>
                <w:szCs w:val="21"/>
                <w:lang w:val="en-US" w:eastAsia="zh-CN"/>
              </w:rPr>
              <w:t>分值</w:t>
            </w:r>
          </w:p>
        </w:tc>
        <w:tc>
          <w:tcPr>
            <w:tcW w:w="1081" w:type="dxa"/>
            <w:tcBorders>
              <w:tl2br w:val="nil"/>
              <w:tr2bl w:val="nil"/>
            </w:tcBorders>
            <w:vAlign w:val="center"/>
          </w:tcPr>
          <w:p>
            <w:pPr>
              <w:adjustRightInd w:val="0"/>
              <w:snapToGrid w:val="0"/>
              <w:spacing w:line="300" w:lineRule="exact"/>
              <w:jc w:val="center"/>
              <w:rPr>
                <w:rFonts w:ascii="宋体" w:hAnsi="宋体" w:eastAsia="宋体" w:cs="宋体"/>
                <w:b/>
                <w:bCs/>
                <w:color w:val="auto"/>
                <w:kern w:val="0"/>
                <w:szCs w:val="21"/>
                <w:lang w:eastAsia="en-US"/>
              </w:rPr>
            </w:pPr>
            <w:r>
              <w:rPr>
                <w:rFonts w:hint="eastAsia" w:ascii="Times New Roman" w:hAnsi="Times New Roman"/>
                <w:b/>
                <w:color w:val="auto"/>
                <w:kern w:val="0"/>
                <w:szCs w:val="21"/>
              </w:rPr>
              <w:t>得</w:t>
            </w:r>
            <w:r>
              <w:rPr>
                <w:rFonts w:ascii="Times New Roman" w:hAnsi="Times New Roman"/>
                <w:b/>
                <w:color w:val="auto"/>
                <w:kern w:val="0"/>
                <w:szCs w:val="21"/>
                <w:lang w:eastAsia="en-US"/>
              </w:rPr>
              <w:t>分</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4" w:hRule="atLeast"/>
          <w:jc w:val="center"/>
        </w:trPr>
        <w:tc>
          <w:tcPr>
            <w:tcW w:w="8522" w:type="dxa"/>
            <w:gridSpan w:val="5"/>
            <w:tcBorders>
              <w:tl2br w:val="nil"/>
              <w:tr2bl w:val="nil"/>
            </w:tcBorders>
            <w:shd w:val="clear" w:color="auto" w:fill="F1F1F1" w:themeFill="background1" w:themeFillShade="F2"/>
            <w:vAlign w:val="center"/>
          </w:tcPr>
          <w:p>
            <w:pPr>
              <w:adjustRightInd w:val="0"/>
              <w:snapToGrid w:val="0"/>
              <w:spacing w:line="300" w:lineRule="exact"/>
              <w:jc w:val="center"/>
              <w:rPr>
                <w:rFonts w:ascii="宋体" w:hAnsi="宋体" w:eastAsia="宋体" w:cs="宋体"/>
                <w:b/>
                <w:bCs/>
                <w:color w:val="auto"/>
                <w:kern w:val="0"/>
                <w:szCs w:val="21"/>
                <w:lang w:eastAsia="en-US"/>
              </w:rPr>
            </w:pPr>
            <w:r>
              <w:rPr>
                <w:rFonts w:hint="eastAsia" w:ascii="宋体" w:hAnsi="宋体" w:eastAsia="宋体" w:cs="宋体"/>
                <w:b/>
                <w:bCs/>
                <w:color w:val="auto"/>
                <w:kern w:val="0"/>
                <w:szCs w:val="21"/>
                <w:lang w:eastAsia="en-US"/>
              </w:rPr>
              <w:t>控制项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45" w:type="dxa"/>
            <w:tcBorders>
              <w:tl2br w:val="nil"/>
              <w:tr2bl w:val="nil"/>
            </w:tcBorders>
            <w:vAlign w:val="center"/>
          </w:tcPr>
          <w:p>
            <w:pPr>
              <w:adjustRightInd w:val="0"/>
              <w:snapToGrid w:val="0"/>
              <w:spacing w:line="300" w:lineRule="exact"/>
              <w:jc w:val="center"/>
              <w:rPr>
                <w:rFonts w:ascii="宋体" w:hAnsi="宋体" w:eastAsia="宋体" w:cs="宋体"/>
                <w:b/>
                <w:color w:val="auto"/>
                <w:spacing w:val="-2"/>
                <w:kern w:val="0"/>
                <w:szCs w:val="21"/>
                <w:lang w:eastAsia="en-US"/>
              </w:rPr>
            </w:pPr>
            <w:r>
              <w:rPr>
                <w:rFonts w:hint="eastAsia" w:ascii="宋体" w:hAnsi="宋体" w:eastAsia="宋体" w:cs="宋体"/>
                <w:b/>
                <w:color w:val="auto"/>
                <w:spacing w:val="-2"/>
                <w:kern w:val="0"/>
                <w:szCs w:val="21"/>
                <w:lang w:eastAsia="en-US"/>
              </w:rPr>
              <w:t>1</w:t>
            </w:r>
          </w:p>
        </w:tc>
        <w:tc>
          <w:tcPr>
            <w:tcW w:w="3508"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建设单位应在建筑工程立项阶段组织编制项目绿色策划方案。</w:t>
            </w:r>
          </w:p>
        </w:tc>
        <w:tc>
          <w:tcPr>
            <w:tcW w:w="2432"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符合《绿色建造技术导则》要求，并按照《绿色建造策划方案编制纲要》进行编制，且项目建议书、可行性研究报告中综合考虑工程绿色要素。</w:t>
            </w:r>
          </w:p>
        </w:tc>
        <w:tc>
          <w:tcPr>
            <w:tcW w:w="856" w:type="dxa"/>
            <w:tcBorders>
              <w:tl2br w:val="nil"/>
              <w:tr2bl w:val="nil"/>
            </w:tcBorders>
            <w:vAlign w:val="center"/>
          </w:tcPr>
          <w:p>
            <w:pPr>
              <w:spacing w:line="240" w:lineRule="exact"/>
              <w:jc w:val="center"/>
              <w:rPr>
                <w:rFonts w:ascii="宋体" w:hAnsi="宋体" w:eastAsia="宋体" w:cs="宋体"/>
                <w:color w:val="auto"/>
                <w:szCs w:val="21"/>
              </w:rPr>
            </w:pPr>
            <w:r>
              <w:rPr>
                <w:rFonts w:hint="eastAsia" w:ascii="宋体" w:hAnsi="宋体" w:eastAsia="宋体" w:cs="宋体"/>
                <w:color w:val="auto"/>
                <w:szCs w:val="21"/>
              </w:rPr>
              <w:t>达标</w:t>
            </w:r>
          </w:p>
        </w:tc>
        <w:tc>
          <w:tcPr>
            <w:tcW w:w="1081" w:type="dxa"/>
            <w:tcBorders>
              <w:tl2br w:val="nil"/>
              <w:tr2bl w:val="nil"/>
            </w:tcBorders>
            <w:vAlign w:val="center"/>
          </w:tcPr>
          <w:p>
            <w:pPr>
              <w:spacing w:line="240" w:lineRule="exact"/>
              <w:jc w:val="center"/>
              <w:rPr>
                <w:rFonts w:ascii="宋体" w:hAnsi="宋体" w:eastAsia="宋体" w:cs="宋体"/>
                <w:color w:val="auto"/>
                <w:szCs w:val="21"/>
              </w:rPr>
            </w:pPr>
            <w:r>
              <w:rPr>
                <w:rFonts w:hint="eastAsia" w:ascii="宋体" w:hAnsi="宋体" w:eastAsia="宋体" w:cs="宋体"/>
                <w:color w:val="auto"/>
                <w:szCs w:val="21"/>
              </w:rPr>
              <w:t>□达  标</w:t>
            </w:r>
          </w:p>
          <w:p>
            <w:pPr>
              <w:spacing w:line="240" w:lineRule="exact"/>
              <w:jc w:val="center"/>
              <w:rPr>
                <w:rFonts w:ascii="宋体" w:hAnsi="宋体" w:eastAsia="宋体" w:cs="宋体"/>
                <w:color w:val="auto"/>
                <w:szCs w:val="21"/>
              </w:rPr>
            </w:pPr>
            <w:r>
              <w:rPr>
                <w:rFonts w:hint="eastAsia" w:ascii="宋体" w:hAnsi="宋体" w:eastAsia="宋体" w:cs="宋体"/>
                <w:color w:val="auto"/>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454" w:hRule="atLeast"/>
          <w:jc w:val="center"/>
        </w:trPr>
        <w:tc>
          <w:tcPr>
            <w:tcW w:w="8522" w:type="dxa"/>
            <w:gridSpan w:val="5"/>
            <w:tcBorders>
              <w:tl2br w:val="nil"/>
              <w:tr2bl w:val="nil"/>
            </w:tcBorders>
            <w:shd w:val="clear" w:color="auto" w:fill="F1F1F1" w:themeFill="background1" w:themeFillShade="F2"/>
            <w:vAlign w:val="center"/>
          </w:tcPr>
          <w:p>
            <w:pPr>
              <w:spacing w:line="240" w:lineRule="exact"/>
              <w:jc w:val="center"/>
              <w:rPr>
                <w:rFonts w:ascii="宋体" w:hAnsi="宋体" w:eastAsia="宋体" w:cs="宋体"/>
                <w:color w:val="auto"/>
                <w:szCs w:val="21"/>
              </w:rPr>
            </w:pPr>
            <w:r>
              <w:rPr>
                <w:rFonts w:hint="eastAsia" w:ascii="宋体" w:hAnsi="宋体" w:eastAsia="宋体" w:cs="宋体"/>
                <w:b/>
                <w:bCs/>
                <w:color w:val="auto"/>
                <w:kern w:val="0"/>
                <w:szCs w:val="21"/>
                <w:lang w:eastAsia="en-US"/>
              </w:rPr>
              <w:t>一般项</w:t>
            </w: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45" w:type="dxa"/>
            <w:tcBorders>
              <w:tl2br w:val="nil"/>
              <w:tr2bl w:val="nil"/>
            </w:tcBorders>
            <w:vAlign w:val="center"/>
          </w:tcPr>
          <w:p>
            <w:pPr>
              <w:adjustRightInd w:val="0"/>
              <w:snapToGrid w:val="0"/>
              <w:spacing w:line="300" w:lineRule="exact"/>
              <w:jc w:val="center"/>
              <w:rPr>
                <w:rFonts w:ascii="宋体" w:hAnsi="宋体" w:eastAsia="宋体" w:cs="宋体"/>
                <w:b/>
                <w:color w:val="auto"/>
                <w:spacing w:val="-2"/>
                <w:kern w:val="0"/>
                <w:szCs w:val="21"/>
                <w:lang w:eastAsia="en-US"/>
              </w:rPr>
            </w:pPr>
            <w:r>
              <w:rPr>
                <w:rFonts w:hint="eastAsia" w:ascii="宋体" w:hAnsi="宋体" w:eastAsia="宋体" w:cs="宋体"/>
                <w:b/>
                <w:color w:val="auto"/>
                <w:spacing w:val="-2"/>
                <w:kern w:val="0"/>
                <w:szCs w:val="21"/>
                <w:lang w:eastAsia="en-US"/>
              </w:rPr>
              <w:t>2</w:t>
            </w:r>
          </w:p>
        </w:tc>
        <w:tc>
          <w:tcPr>
            <w:tcW w:w="3508"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成立绿色建造管理团队，成员包括投资、咨询、设计、施工等项目参与方。建立涵盖设计、施工等不同阶段的项目工作协同机制。</w:t>
            </w:r>
          </w:p>
        </w:tc>
        <w:tc>
          <w:tcPr>
            <w:tcW w:w="2432" w:type="dxa"/>
            <w:tcBorders>
              <w:tl2br w:val="nil"/>
              <w:tr2bl w:val="nil"/>
            </w:tcBorders>
            <w:vAlign w:val="center"/>
          </w:tcPr>
          <w:p>
            <w:pPr>
              <w:spacing w:line="240" w:lineRule="exact"/>
              <w:rPr>
                <w:rFonts w:hint="eastAsia" w:ascii="宋体" w:hAnsi="宋体" w:eastAsia="宋体" w:cs="宋体"/>
                <w:color w:val="auto"/>
                <w:szCs w:val="21"/>
                <w:lang w:val="en-US" w:eastAsia="zh-CN"/>
              </w:rPr>
            </w:pPr>
            <w:r>
              <w:rPr>
                <w:rFonts w:hint="eastAsia" w:ascii="宋体" w:hAnsi="宋体" w:eastAsia="宋体" w:cs="宋体"/>
                <w:color w:val="auto"/>
                <w:szCs w:val="21"/>
              </w:rPr>
              <w:t>查阅绿色建造管理组织构架和工作机制文件</w:t>
            </w:r>
            <w:r>
              <w:rPr>
                <w:rFonts w:hint="eastAsia" w:ascii="宋体" w:hAnsi="宋体" w:eastAsia="宋体" w:cs="宋体"/>
                <w:color w:val="auto"/>
                <w:szCs w:val="21"/>
                <w:lang w:val="en-US" w:eastAsia="zh-CN"/>
              </w:rPr>
              <w:t>。</w:t>
            </w:r>
          </w:p>
        </w:tc>
        <w:tc>
          <w:tcPr>
            <w:tcW w:w="856"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kern w:val="0"/>
                <w:szCs w:val="21"/>
                <w:lang w:bidi="ar"/>
              </w:rPr>
              <w:t>12</w:t>
            </w:r>
          </w:p>
        </w:tc>
        <w:tc>
          <w:tcPr>
            <w:tcW w:w="1081" w:type="dxa"/>
            <w:tcBorders>
              <w:tl2br w:val="nil"/>
              <w:tr2bl w:val="nil"/>
            </w:tcBorders>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45" w:type="dxa"/>
            <w:tcBorders>
              <w:tl2br w:val="nil"/>
              <w:tr2bl w:val="nil"/>
            </w:tcBorders>
            <w:vAlign w:val="center"/>
          </w:tcPr>
          <w:p>
            <w:pPr>
              <w:adjustRightInd w:val="0"/>
              <w:snapToGrid w:val="0"/>
              <w:spacing w:line="300" w:lineRule="exact"/>
              <w:jc w:val="center"/>
              <w:rPr>
                <w:rFonts w:ascii="宋体" w:hAnsi="宋体" w:eastAsia="宋体" w:cs="宋体"/>
                <w:b/>
                <w:color w:val="auto"/>
                <w:spacing w:val="-2"/>
                <w:kern w:val="0"/>
                <w:szCs w:val="21"/>
              </w:rPr>
            </w:pPr>
            <w:r>
              <w:rPr>
                <w:rFonts w:hint="eastAsia" w:ascii="宋体" w:hAnsi="宋体" w:eastAsia="宋体" w:cs="宋体"/>
                <w:b/>
                <w:color w:val="auto"/>
                <w:spacing w:val="-2"/>
                <w:kern w:val="0"/>
                <w:szCs w:val="21"/>
              </w:rPr>
              <w:t>3</w:t>
            </w:r>
          </w:p>
        </w:tc>
        <w:tc>
          <w:tcPr>
            <w:tcW w:w="3508"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绿色建造管理团队对建造全过程进行整体统筹，并制定相关管理制度</w:t>
            </w:r>
          </w:p>
        </w:tc>
        <w:tc>
          <w:tcPr>
            <w:tcW w:w="2432" w:type="dxa"/>
            <w:tcBorders>
              <w:tl2br w:val="nil"/>
              <w:tr2bl w:val="nil"/>
            </w:tcBorders>
            <w:vAlign w:val="center"/>
          </w:tcPr>
          <w:p>
            <w:pPr>
              <w:spacing w:line="240" w:lineRule="exact"/>
              <w:rPr>
                <w:rFonts w:hint="eastAsia" w:ascii="宋体" w:hAnsi="宋体" w:eastAsia="宋体" w:cs="宋体"/>
                <w:color w:val="auto"/>
                <w:szCs w:val="21"/>
                <w:lang w:eastAsia="zh-CN"/>
              </w:rPr>
            </w:pPr>
            <w:r>
              <w:rPr>
                <w:rFonts w:hint="eastAsia" w:ascii="宋体" w:hAnsi="宋体" w:eastAsia="宋体" w:cs="宋体"/>
                <w:color w:val="auto"/>
                <w:szCs w:val="21"/>
              </w:rPr>
              <w:t>查阅相关管理制度</w:t>
            </w:r>
            <w:r>
              <w:rPr>
                <w:rFonts w:hint="eastAsia" w:ascii="宋体" w:hAnsi="宋体" w:eastAsia="宋体" w:cs="宋体"/>
                <w:color w:val="auto"/>
                <w:szCs w:val="21"/>
                <w:lang w:eastAsia="zh-CN"/>
              </w:rPr>
              <w:t>。</w:t>
            </w:r>
          </w:p>
        </w:tc>
        <w:tc>
          <w:tcPr>
            <w:tcW w:w="856"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kern w:val="0"/>
                <w:szCs w:val="21"/>
                <w:lang w:bidi="ar"/>
              </w:rPr>
              <w:t>7</w:t>
            </w:r>
          </w:p>
        </w:tc>
        <w:tc>
          <w:tcPr>
            <w:tcW w:w="1081" w:type="dxa"/>
            <w:tcBorders>
              <w:tl2br w:val="nil"/>
              <w:tr2bl w:val="nil"/>
            </w:tcBorders>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45" w:type="dxa"/>
            <w:tcBorders>
              <w:tl2br w:val="nil"/>
              <w:tr2bl w:val="nil"/>
            </w:tcBorders>
            <w:vAlign w:val="center"/>
          </w:tcPr>
          <w:p>
            <w:pPr>
              <w:adjustRightInd w:val="0"/>
              <w:snapToGrid w:val="0"/>
              <w:spacing w:line="300" w:lineRule="exact"/>
              <w:jc w:val="center"/>
              <w:rPr>
                <w:rFonts w:ascii="宋体" w:hAnsi="宋体" w:eastAsia="宋体" w:cs="宋体"/>
                <w:b/>
                <w:color w:val="auto"/>
                <w:spacing w:val="-2"/>
                <w:kern w:val="0"/>
                <w:szCs w:val="21"/>
              </w:rPr>
            </w:pPr>
            <w:r>
              <w:rPr>
                <w:rFonts w:hint="eastAsia" w:ascii="宋体" w:hAnsi="宋体" w:eastAsia="宋体" w:cs="宋体"/>
                <w:b/>
                <w:color w:val="auto"/>
                <w:spacing w:val="-2"/>
                <w:kern w:val="0"/>
                <w:szCs w:val="21"/>
              </w:rPr>
              <w:t>4</w:t>
            </w:r>
          </w:p>
        </w:tc>
        <w:tc>
          <w:tcPr>
            <w:tcW w:w="3508"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项目设计任务书包括绿色建造前期策划的成果，包括但不限于绿色建造目标，拟采用的绿色建筑技术等</w:t>
            </w:r>
          </w:p>
        </w:tc>
        <w:tc>
          <w:tcPr>
            <w:tcW w:w="2432" w:type="dxa"/>
            <w:tcBorders>
              <w:tl2br w:val="nil"/>
              <w:tr2bl w:val="nil"/>
            </w:tcBorders>
            <w:vAlign w:val="center"/>
          </w:tcPr>
          <w:p>
            <w:pPr>
              <w:spacing w:line="240" w:lineRule="exact"/>
              <w:rPr>
                <w:rFonts w:hint="eastAsia" w:ascii="宋体" w:hAnsi="宋体" w:eastAsia="宋体" w:cs="宋体"/>
                <w:color w:val="auto"/>
                <w:szCs w:val="21"/>
                <w:lang w:eastAsia="zh-CN"/>
              </w:rPr>
            </w:pPr>
            <w:r>
              <w:rPr>
                <w:rFonts w:hint="eastAsia" w:ascii="宋体" w:hAnsi="宋体" w:eastAsia="宋体" w:cs="宋体"/>
                <w:color w:val="auto"/>
                <w:szCs w:val="21"/>
              </w:rPr>
              <w:t>查阅设计任务书</w:t>
            </w:r>
            <w:r>
              <w:rPr>
                <w:rFonts w:hint="eastAsia" w:ascii="宋体" w:hAnsi="宋体" w:eastAsia="宋体" w:cs="宋体"/>
                <w:color w:val="auto"/>
                <w:szCs w:val="21"/>
                <w:lang w:eastAsia="zh-CN"/>
              </w:rPr>
              <w:t>。</w:t>
            </w:r>
          </w:p>
        </w:tc>
        <w:tc>
          <w:tcPr>
            <w:tcW w:w="856"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kern w:val="0"/>
                <w:szCs w:val="21"/>
                <w:lang w:bidi="ar"/>
              </w:rPr>
              <w:t>7</w:t>
            </w:r>
          </w:p>
        </w:tc>
        <w:tc>
          <w:tcPr>
            <w:tcW w:w="1081" w:type="dxa"/>
            <w:tcBorders>
              <w:tl2br w:val="nil"/>
              <w:tr2bl w:val="nil"/>
            </w:tcBorders>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45" w:type="dxa"/>
            <w:tcBorders>
              <w:tl2br w:val="nil"/>
              <w:tr2bl w:val="nil"/>
            </w:tcBorders>
            <w:vAlign w:val="center"/>
          </w:tcPr>
          <w:p>
            <w:pPr>
              <w:adjustRightInd w:val="0"/>
              <w:snapToGrid w:val="0"/>
              <w:spacing w:line="300" w:lineRule="exact"/>
              <w:jc w:val="center"/>
              <w:rPr>
                <w:rFonts w:ascii="宋体" w:hAnsi="宋体" w:eastAsia="宋体" w:cs="宋体"/>
                <w:b/>
                <w:color w:val="auto"/>
                <w:spacing w:val="-2"/>
                <w:kern w:val="0"/>
                <w:szCs w:val="21"/>
              </w:rPr>
            </w:pPr>
            <w:r>
              <w:rPr>
                <w:rFonts w:hint="eastAsia" w:ascii="宋体" w:hAnsi="宋体" w:eastAsia="宋体" w:cs="宋体"/>
                <w:b/>
                <w:color w:val="auto"/>
                <w:spacing w:val="-2"/>
                <w:kern w:val="0"/>
                <w:szCs w:val="21"/>
              </w:rPr>
              <w:t>5</w:t>
            </w:r>
          </w:p>
        </w:tc>
        <w:tc>
          <w:tcPr>
            <w:tcW w:w="3508"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有效采用BIM等新技术，统筹建造全过程的信息管理，支撑各阶段多参与方之间的数据交换和信息共享，制定建造全过程信息共享实施方案。</w:t>
            </w:r>
          </w:p>
        </w:tc>
        <w:tc>
          <w:tcPr>
            <w:tcW w:w="2432"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查看全过程信息共享实施方案（建造过程还须实地查看信息共享平台运维情况）。</w:t>
            </w:r>
          </w:p>
        </w:tc>
        <w:tc>
          <w:tcPr>
            <w:tcW w:w="856"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kern w:val="0"/>
                <w:szCs w:val="21"/>
                <w:lang w:bidi="ar"/>
              </w:rPr>
              <w:t>10</w:t>
            </w:r>
          </w:p>
        </w:tc>
        <w:tc>
          <w:tcPr>
            <w:tcW w:w="1081" w:type="dxa"/>
            <w:tcBorders>
              <w:tl2br w:val="nil"/>
              <w:tr2bl w:val="nil"/>
            </w:tcBorders>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45" w:type="dxa"/>
            <w:tcBorders>
              <w:tl2br w:val="nil"/>
              <w:tr2bl w:val="nil"/>
            </w:tcBorders>
            <w:vAlign w:val="center"/>
          </w:tcPr>
          <w:p>
            <w:pPr>
              <w:adjustRightInd w:val="0"/>
              <w:snapToGrid w:val="0"/>
              <w:spacing w:line="300" w:lineRule="exact"/>
              <w:jc w:val="center"/>
              <w:rPr>
                <w:rFonts w:ascii="宋体" w:hAnsi="宋体" w:eastAsia="宋体" w:cs="宋体"/>
                <w:b/>
                <w:color w:val="auto"/>
                <w:spacing w:val="-2"/>
                <w:kern w:val="0"/>
                <w:szCs w:val="21"/>
              </w:rPr>
            </w:pPr>
            <w:r>
              <w:rPr>
                <w:rFonts w:hint="eastAsia" w:ascii="宋体" w:hAnsi="宋体" w:eastAsia="宋体" w:cs="宋体"/>
                <w:b/>
                <w:color w:val="auto"/>
                <w:spacing w:val="-2"/>
                <w:kern w:val="0"/>
                <w:szCs w:val="21"/>
              </w:rPr>
              <w:t>6</w:t>
            </w:r>
          </w:p>
        </w:tc>
        <w:tc>
          <w:tcPr>
            <w:tcW w:w="3508"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依据《建筑碳排放计算标准》GB/T 51366，预估建造全过程碳排放总量。</w:t>
            </w:r>
          </w:p>
        </w:tc>
        <w:tc>
          <w:tcPr>
            <w:tcW w:w="2432"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查看建造全过程碳排放计算文件。</w:t>
            </w:r>
          </w:p>
        </w:tc>
        <w:tc>
          <w:tcPr>
            <w:tcW w:w="856"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kern w:val="0"/>
                <w:szCs w:val="21"/>
                <w:lang w:bidi="ar"/>
              </w:rPr>
              <w:t>8</w:t>
            </w:r>
          </w:p>
        </w:tc>
        <w:tc>
          <w:tcPr>
            <w:tcW w:w="1081" w:type="dxa"/>
            <w:tcBorders>
              <w:tl2br w:val="nil"/>
              <w:tr2bl w:val="nil"/>
            </w:tcBorders>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45" w:type="dxa"/>
            <w:tcBorders>
              <w:tl2br w:val="nil"/>
              <w:tr2bl w:val="nil"/>
            </w:tcBorders>
            <w:vAlign w:val="center"/>
          </w:tcPr>
          <w:p>
            <w:pPr>
              <w:adjustRightInd w:val="0"/>
              <w:snapToGrid w:val="0"/>
              <w:spacing w:line="300" w:lineRule="exact"/>
              <w:jc w:val="center"/>
              <w:rPr>
                <w:rFonts w:ascii="宋体" w:hAnsi="宋体" w:eastAsia="宋体" w:cs="宋体"/>
                <w:b/>
                <w:color w:val="auto"/>
                <w:spacing w:val="-2"/>
                <w:kern w:val="0"/>
                <w:szCs w:val="21"/>
              </w:rPr>
            </w:pPr>
            <w:r>
              <w:rPr>
                <w:rFonts w:hint="eastAsia" w:ascii="宋体" w:hAnsi="宋体" w:eastAsia="宋体" w:cs="宋体"/>
                <w:b/>
                <w:color w:val="auto"/>
                <w:spacing w:val="-2"/>
                <w:kern w:val="0"/>
                <w:szCs w:val="21"/>
              </w:rPr>
              <w:t>7</w:t>
            </w:r>
          </w:p>
        </w:tc>
        <w:tc>
          <w:tcPr>
            <w:tcW w:w="3508"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制定施工扬尘控制、建筑垃圾减量化与资源化实施方案。将施工扬尘控制、建筑垃圾减量化目标和措施纳入招标文件和合同文本，措施费纳入工程概算。</w:t>
            </w:r>
          </w:p>
        </w:tc>
        <w:tc>
          <w:tcPr>
            <w:tcW w:w="2432"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查看施工扬尘控制、建筑垃圾减量化与资源化实施方案，招标文件，合同文本，工程概算等。</w:t>
            </w:r>
          </w:p>
        </w:tc>
        <w:tc>
          <w:tcPr>
            <w:tcW w:w="856"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kern w:val="0"/>
                <w:szCs w:val="21"/>
                <w:lang w:bidi="ar"/>
              </w:rPr>
              <w:t>7</w:t>
            </w:r>
          </w:p>
        </w:tc>
        <w:tc>
          <w:tcPr>
            <w:tcW w:w="1081" w:type="dxa"/>
            <w:tcBorders>
              <w:tl2br w:val="nil"/>
              <w:tr2bl w:val="nil"/>
            </w:tcBorders>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45" w:type="dxa"/>
            <w:tcBorders>
              <w:tl2br w:val="nil"/>
              <w:tr2bl w:val="nil"/>
            </w:tcBorders>
            <w:vAlign w:val="center"/>
          </w:tcPr>
          <w:p>
            <w:pPr>
              <w:adjustRightInd w:val="0"/>
              <w:snapToGrid w:val="0"/>
              <w:spacing w:line="300" w:lineRule="exact"/>
              <w:jc w:val="center"/>
              <w:rPr>
                <w:rFonts w:ascii="宋体" w:hAnsi="宋体" w:eastAsia="宋体" w:cs="宋体"/>
                <w:b/>
                <w:color w:val="auto"/>
                <w:spacing w:val="-2"/>
                <w:kern w:val="0"/>
                <w:szCs w:val="21"/>
              </w:rPr>
            </w:pPr>
            <w:r>
              <w:rPr>
                <w:rFonts w:hint="eastAsia" w:ascii="宋体" w:hAnsi="宋体" w:eastAsia="宋体" w:cs="宋体"/>
                <w:b/>
                <w:color w:val="auto"/>
                <w:spacing w:val="-2"/>
                <w:kern w:val="0"/>
                <w:szCs w:val="21"/>
              </w:rPr>
              <w:t>8</w:t>
            </w:r>
          </w:p>
        </w:tc>
        <w:tc>
          <w:tcPr>
            <w:tcW w:w="3508"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采用智能建筑技术，强建筑物的科技功能和提升智能化系统的技术功效，具有适用性、开放性、可维护性和可扩展性。</w:t>
            </w:r>
          </w:p>
        </w:tc>
        <w:tc>
          <w:tcPr>
            <w:tcW w:w="2432"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查看概念设计方案。明确采用智能建造的方式和范围，满足《智能建筑设计标准》GB 50314要求。</w:t>
            </w:r>
          </w:p>
        </w:tc>
        <w:tc>
          <w:tcPr>
            <w:tcW w:w="856"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kern w:val="0"/>
                <w:szCs w:val="21"/>
                <w:lang w:bidi="ar"/>
              </w:rPr>
              <w:t>7</w:t>
            </w:r>
          </w:p>
        </w:tc>
        <w:tc>
          <w:tcPr>
            <w:tcW w:w="1081" w:type="dxa"/>
            <w:tcBorders>
              <w:tl2br w:val="nil"/>
              <w:tr2bl w:val="nil"/>
            </w:tcBorders>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45" w:type="dxa"/>
            <w:tcBorders>
              <w:tl2br w:val="nil"/>
              <w:tr2bl w:val="nil"/>
            </w:tcBorders>
            <w:vAlign w:val="center"/>
          </w:tcPr>
          <w:p>
            <w:pPr>
              <w:adjustRightInd w:val="0"/>
              <w:snapToGrid w:val="0"/>
              <w:spacing w:line="300" w:lineRule="exact"/>
              <w:jc w:val="center"/>
              <w:rPr>
                <w:rFonts w:ascii="宋体" w:hAnsi="宋体" w:eastAsia="宋体" w:cs="宋体"/>
                <w:b/>
                <w:color w:val="auto"/>
                <w:spacing w:val="-2"/>
                <w:kern w:val="0"/>
                <w:szCs w:val="21"/>
              </w:rPr>
            </w:pPr>
            <w:r>
              <w:rPr>
                <w:rFonts w:hint="eastAsia" w:ascii="宋体" w:hAnsi="宋体" w:eastAsia="宋体" w:cs="宋体"/>
                <w:b/>
                <w:color w:val="auto"/>
                <w:spacing w:val="-2"/>
                <w:kern w:val="0"/>
                <w:szCs w:val="21"/>
              </w:rPr>
              <w:t>9</w:t>
            </w:r>
          </w:p>
        </w:tc>
        <w:tc>
          <w:tcPr>
            <w:tcW w:w="3508" w:type="dxa"/>
            <w:tcBorders>
              <w:tl2br w:val="nil"/>
              <w:tr2bl w:val="nil"/>
            </w:tcBorders>
            <w:vAlign w:val="center"/>
          </w:tcPr>
          <w:p>
            <w:pPr>
              <w:spacing w:line="240" w:lineRule="exact"/>
              <w:rPr>
                <w:rFonts w:hint="eastAsia" w:ascii="宋体" w:hAnsi="宋体" w:eastAsia="宋体" w:cs="宋体"/>
                <w:color w:val="auto"/>
                <w:szCs w:val="21"/>
                <w:lang w:eastAsia="zh-CN"/>
              </w:rPr>
            </w:pPr>
            <w:r>
              <w:rPr>
                <w:rFonts w:hint="eastAsia" w:ascii="宋体" w:hAnsi="宋体" w:eastAsia="宋体" w:cs="宋体"/>
                <w:color w:val="auto"/>
                <w:szCs w:val="21"/>
              </w:rPr>
              <w:t>采用装配式建筑技术、钢结构建筑技术，装配率不低于50%。</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项目包含多栋单体建筑的按照单体装配率不</w:t>
            </w:r>
            <w:r>
              <w:rPr>
                <w:rFonts w:hint="eastAsia" w:ascii="宋体" w:hAnsi="宋体" w:eastAsia="宋体" w:cs="宋体"/>
                <w:color w:val="auto"/>
                <w:szCs w:val="21"/>
              </w:rPr>
              <w:t>低于50%</w:t>
            </w:r>
            <w:r>
              <w:rPr>
                <w:rFonts w:hint="eastAsia" w:ascii="宋体" w:hAnsi="宋体" w:eastAsia="宋体" w:cs="宋体"/>
                <w:color w:val="auto"/>
                <w:szCs w:val="21"/>
                <w:lang w:val="en-US" w:eastAsia="zh-CN"/>
              </w:rPr>
              <w:t>建筑物面积占全部建筑物面积的比例计算得分。</w:t>
            </w:r>
            <w:r>
              <w:rPr>
                <w:rFonts w:hint="eastAsia" w:ascii="宋体" w:hAnsi="宋体" w:eastAsia="宋体" w:cs="宋体"/>
                <w:color w:val="auto"/>
                <w:szCs w:val="21"/>
                <w:lang w:eastAsia="zh-CN"/>
              </w:rPr>
              <w:t>）</w:t>
            </w:r>
          </w:p>
        </w:tc>
        <w:tc>
          <w:tcPr>
            <w:tcW w:w="2432" w:type="dxa"/>
            <w:tcBorders>
              <w:tl2br w:val="nil"/>
              <w:tr2bl w:val="nil"/>
            </w:tcBorders>
            <w:vAlign w:val="center"/>
          </w:tcPr>
          <w:p>
            <w:pPr>
              <w:spacing w:line="240" w:lineRule="exact"/>
              <w:rPr>
                <w:rFonts w:hint="eastAsia" w:ascii="宋体" w:hAnsi="宋体" w:eastAsia="宋体" w:cs="宋体"/>
                <w:color w:val="auto"/>
                <w:szCs w:val="21"/>
                <w:lang w:eastAsia="zh-CN"/>
              </w:rPr>
            </w:pPr>
            <w:r>
              <w:rPr>
                <w:rFonts w:hint="eastAsia" w:ascii="宋体" w:hAnsi="宋体" w:eastAsia="宋体" w:cs="宋体"/>
                <w:color w:val="auto"/>
                <w:szCs w:val="21"/>
              </w:rPr>
              <w:t>查看概念设计方案。依据《装配式建筑评价标准》DB13(J)8321-2019评价。</w:t>
            </w:r>
          </w:p>
        </w:tc>
        <w:tc>
          <w:tcPr>
            <w:tcW w:w="856"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7</w:t>
            </w:r>
          </w:p>
        </w:tc>
        <w:tc>
          <w:tcPr>
            <w:tcW w:w="1081" w:type="dxa"/>
            <w:tcBorders>
              <w:tl2br w:val="nil"/>
              <w:tr2bl w:val="nil"/>
            </w:tcBorders>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45" w:type="dxa"/>
            <w:tcBorders>
              <w:tl2br w:val="nil"/>
              <w:tr2bl w:val="nil"/>
            </w:tcBorders>
            <w:vAlign w:val="center"/>
          </w:tcPr>
          <w:p>
            <w:pPr>
              <w:adjustRightInd w:val="0"/>
              <w:snapToGrid w:val="0"/>
              <w:spacing w:line="300" w:lineRule="exact"/>
              <w:jc w:val="center"/>
              <w:rPr>
                <w:rFonts w:ascii="宋体" w:hAnsi="宋体" w:eastAsia="宋体" w:cs="宋体"/>
                <w:b/>
                <w:color w:val="auto"/>
                <w:spacing w:val="-2"/>
                <w:kern w:val="0"/>
                <w:szCs w:val="21"/>
              </w:rPr>
            </w:pPr>
            <w:r>
              <w:rPr>
                <w:rFonts w:hint="eastAsia" w:ascii="宋体" w:hAnsi="宋体" w:eastAsia="宋体" w:cs="宋体"/>
                <w:b/>
                <w:color w:val="auto"/>
                <w:spacing w:val="-2"/>
                <w:kern w:val="0"/>
                <w:szCs w:val="21"/>
              </w:rPr>
              <w:t>10</w:t>
            </w:r>
          </w:p>
        </w:tc>
        <w:tc>
          <w:tcPr>
            <w:tcW w:w="3508"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采用绿色建筑技术，绿色建筑星级不低于一星级。</w:t>
            </w:r>
          </w:p>
        </w:tc>
        <w:tc>
          <w:tcPr>
            <w:tcW w:w="2432"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查看概念设计方案。依据《绿色建筑评价标准》DB13(J)T8352-2020评价。</w:t>
            </w:r>
          </w:p>
        </w:tc>
        <w:tc>
          <w:tcPr>
            <w:tcW w:w="856"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bidi="ar"/>
              </w:rPr>
              <w:t>20</w:t>
            </w:r>
          </w:p>
        </w:tc>
        <w:tc>
          <w:tcPr>
            <w:tcW w:w="1081" w:type="dxa"/>
            <w:tcBorders>
              <w:tl2br w:val="nil"/>
              <w:tr2bl w:val="nil"/>
            </w:tcBorders>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45" w:type="dxa"/>
            <w:tcBorders>
              <w:tl2br w:val="nil"/>
              <w:tr2bl w:val="nil"/>
            </w:tcBorders>
            <w:vAlign w:val="center"/>
          </w:tcPr>
          <w:p>
            <w:pPr>
              <w:adjustRightInd w:val="0"/>
              <w:snapToGrid w:val="0"/>
              <w:spacing w:line="300" w:lineRule="exact"/>
              <w:jc w:val="center"/>
              <w:rPr>
                <w:rFonts w:ascii="宋体" w:hAnsi="宋体" w:eastAsia="宋体" w:cs="宋体"/>
                <w:b/>
                <w:color w:val="auto"/>
                <w:spacing w:val="-2"/>
                <w:kern w:val="0"/>
                <w:szCs w:val="21"/>
              </w:rPr>
            </w:pPr>
            <w:r>
              <w:rPr>
                <w:rFonts w:hint="eastAsia" w:ascii="宋体" w:hAnsi="宋体" w:eastAsia="宋体" w:cs="宋体"/>
                <w:b/>
                <w:color w:val="auto"/>
                <w:spacing w:val="-2"/>
                <w:kern w:val="0"/>
                <w:szCs w:val="21"/>
              </w:rPr>
              <w:t>11</w:t>
            </w:r>
          </w:p>
        </w:tc>
        <w:tc>
          <w:tcPr>
            <w:tcW w:w="3508"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编制智慧工地管理策划方案，对工地建设进行全过程智慧化管理</w:t>
            </w:r>
          </w:p>
        </w:tc>
        <w:tc>
          <w:tcPr>
            <w:tcW w:w="2432"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查看技术方案和实地查看工地现场</w:t>
            </w:r>
          </w:p>
        </w:tc>
        <w:tc>
          <w:tcPr>
            <w:tcW w:w="856"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kern w:val="0"/>
                <w:szCs w:val="21"/>
                <w:lang w:bidi="ar"/>
              </w:rPr>
              <w:t>8</w:t>
            </w:r>
          </w:p>
        </w:tc>
        <w:tc>
          <w:tcPr>
            <w:tcW w:w="1081" w:type="dxa"/>
            <w:tcBorders>
              <w:tl2br w:val="nil"/>
              <w:tr2bl w:val="nil"/>
            </w:tcBorders>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45" w:type="dxa"/>
            <w:tcBorders>
              <w:tl2br w:val="nil"/>
              <w:tr2bl w:val="nil"/>
            </w:tcBorders>
            <w:vAlign w:val="center"/>
          </w:tcPr>
          <w:p>
            <w:pPr>
              <w:adjustRightInd w:val="0"/>
              <w:snapToGrid w:val="0"/>
              <w:spacing w:line="300" w:lineRule="exact"/>
              <w:jc w:val="center"/>
              <w:rPr>
                <w:rFonts w:ascii="宋体" w:hAnsi="宋体" w:eastAsia="宋体" w:cs="宋体"/>
                <w:b/>
                <w:color w:val="auto"/>
                <w:spacing w:val="-2"/>
                <w:kern w:val="0"/>
                <w:szCs w:val="21"/>
              </w:rPr>
            </w:pPr>
            <w:r>
              <w:rPr>
                <w:rFonts w:hint="eastAsia" w:ascii="宋体" w:hAnsi="宋体" w:eastAsia="宋体" w:cs="宋体"/>
                <w:b/>
                <w:color w:val="auto"/>
                <w:spacing w:val="-2"/>
                <w:kern w:val="0"/>
                <w:szCs w:val="21"/>
              </w:rPr>
              <w:t>12</w:t>
            </w:r>
          </w:p>
        </w:tc>
        <w:tc>
          <w:tcPr>
            <w:tcW w:w="3508"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制定数字化交付标准和方案，明确各阶段责任主体和交付成果。</w:t>
            </w:r>
          </w:p>
        </w:tc>
        <w:tc>
          <w:tcPr>
            <w:tcW w:w="2432" w:type="dxa"/>
            <w:tcBorders>
              <w:tl2br w:val="nil"/>
              <w:tr2bl w:val="nil"/>
            </w:tcBorders>
            <w:vAlign w:val="center"/>
          </w:tcPr>
          <w:p>
            <w:pPr>
              <w:spacing w:line="240" w:lineRule="exact"/>
              <w:rPr>
                <w:rFonts w:ascii="宋体" w:hAnsi="宋体" w:eastAsia="宋体" w:cs="宋体"/>
                <w:color w:val="auto"/>
                <w:szCs w:val="21"/>
              </w:rPr>
            </w:pPr>
            <w:r>
              <w:rPr>
                <w:rFonts w:hint="eastAsia" w:ascii="宋体" w:hAnsi="宋体" w:eastAsia="宋体" w:cs="宋体"/>
                <w:color w:val="auto"/>
                <w:szCs w:val="21"/>
              </w:rPr>
              <w:t>查看数字化交付标准和方案</w:t>
            </w:r>
          </w:p>
        </w:tc>
        <w:tc>
          <w:tcPr>
            <w:tcW w:w="856" w:type="dxa"/>
            <w:tcBorders>
              <w:tl2br w:val="nil"/>
              <w:tr2bl w:val="nil"/>
            </w:tcBorders>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kern w:val="0"/>
                <w:szCs w:val="21"/>
                <w:lang w:bidi="ar"/>
              </w:rPr>
              <w:t>7</w:t>
            </w:r>
          </w:p>
        </w:tc>
        <w:tc>
          <w:tcPr>
            <w:tcW w:w="1081" w:type="dxa"/>
            <w:tcBorders>
              <w:tl2br w:val="nil"/>
              <w:tr2bl w:val="nil"/>
            </w:tcBorders>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8" w:space="0"/>
            <w:insideV w:val="single" w:color="000000" w:sz="8" w:space="0"/>
          </w:tblBorders>
          <w:tblCellMar>
            <w:top w:w="0" w:type="dxa"/>
            <w:left w:w="108" w:type="dxa"/>
            <w:bottom w:w="0" w:type="dxa"/>
            <w:right w:w="108" w:type="dxa"/>
          </w:tblCellMar>
        </w:tblPrEx>
        <w:trPr>
          <w:trHeight w:val="340" w:hRule="atLeast"/>
          <w:jc w:val="center"/>
        </w:trPr>
        <w:tc>
          <w:tcPr>
            <w:tcW w:w="6585" w:type="dxa"/>
            <w:gridSpan w:val="3"/>
            <w:tcBorders>
              <w:tl2br w:val="nil"/>
              <w:tr2bl w:val="nil"/>
            </w:tcBorders>
            <w:vAlign w:val="center"/>
          </w:tcPr>
          <w:p>
            <w:pPr>
              <w:spacing w:line="240" w:lineRule="exact"/>
              <w:jc w:val="center"/>
              <w:rPr>
                <w:rFonts w:ascii="宋体" w:hAnsi="宋体" w:eastAsia="宋体" w:cs="宋体"/>
                <w:b/>
                <w:color w:val="auto"/>
                <w:szCs w:val="21"/>
              </w:rPr>
            </w:pPr>
            <w:r>
              <w:rPr>
                <w:rFonts w:hint="eastAsia" w:ascii="宋体" w:hAnsi="宋体" w:eastAsia="宋体" w:cs="宋体"/>
                <w:b/>
                <w:color w:val="auto"/>
                <w:szCs w:val="21"/>
              </w:rPr>
              <w:t>合  计</w:t>
            </w:r>
          </w:p>
        </w:tc>
        <w:tc>
          <w:tcPr>
            <w:tcW w:w="856" w:type="dxa"/>
            <w:tcBorders>
              <w:tl2br w:val="nil"/>
              <w:tr2bl w:val="nil"/>
            </w:tcBorders>
            <w:vAlign w:val="center"/>
          </w:tcPr>
          <w:p>
            <w:pPr>
              <w:widowControl/>
              <w:jc w:val="center"/>
              <w:textAlignment w:val="center"/>
              <w:rPr>
                <w:rFonts w:hint="default" w:ascii="Times New Roman" w:hAnsi="Times New Roman" w:eastAsia="宋体" w:cs="Times New Roman"/>
                <w:color w:val="auto"/>
                <w:kern w:val="0"/>
                <w:szCs w:val="21"/>
                <w:lang w:bidi="ar"/>
              </w:rPr>
            </w:pPr>
            <w:r>
              <w:rPr>
                <w:rFonts w:hint="default" w:ascii="Times New Roman" w:hAnsi="Times New Roman" w:eastAsia="宋体" w:cs="Times New Roman"/>
                <w:color w:val="auto"/>
                <w:kern w:val="0"/>
                <w:szCs w:val="21"/>
                <w:lang w:bidi="ar"/>
              </w:rPr>
              <w:t>100</w:t>
            </w:r>
          </w:p>
        </w:tc>
        <w:tc>
          <w:tcPr>
            <w:tcW w:w="1081" w:type="dxa"/>
            <w:tcBorders>
              <w:tl2br w:val="nil"/>
              <w:tr2bl w:val="nil"/>
            </w:tcBorders>
            <w:vAlign w:val="center"/>
          </w:tcPr>
          <w:p>
            <w:pPr>
              <w:spacing w:line="240" w:lineRule="exact"/>
              <w:jc w:val="center"/>
              <w:rPr>
                <w:rFonts w:ascii="宋体" w:hAnsi="宋体" w:eastAsia="宋体" w:cs="宋体"/>
                <w:color w:val="auto"/>
                <w:szCs w:val="21"/>
              </w:rPr>
            </w:pPr>
          </w:p>
        </w:tc>
      </w:tr>
    </w:tbl>
    <w:p>
      <w:pPr>
        <w:rPr>
          <w:rFonts w:ascii="宋体" w:hAnsi="宋体" w:cs="宋体"/>
          <w:color w:val="auto"/>
          <w:kern w:val="0"/>
          <w:sz w:val="24"/>
        </w:rPr>
      </w:pPr>
      <w:r>
        <w:rPr>
          <w:rFonts w:hint="eastAsia" w:ascii="宋体" w:hAnsi="宋体" w:cs="宋体"/>
          <w:color w:val="auto"/>
          <w:kern w:val="0"/>
          <w:sz w:val="24"/>
        </w:rPr>
        <w:br w:type="page"/>
      </w:r>
    </w:p>
    <w:p>
      <w:pPr>
        <w:spacing w:before="240" w:line="358" w:lineRule="auto"/>
        <w:ind w:right="91"/>
        <w:rPr>
          <w:rFonts w:ascii="黑体" w:hAnsi="黑体" w:eastAsia="黑体" w:cs="黑体"/>
          <w:b/>
          <w:color w:val="auto"/>
          <w:kern w:val="0"/>
          <w:sz w:val="28"/>
          <w:szCs w:val="28"/>
        </w:rPr>
      </w:pPr>
      <w:r>
        <w:rPr>
          <w:rFonts w:hint="eastAsia" w:ascii="黑体" w:hAnsi="黑体" w:eastAsia="黑体" w:cs="黑体"/>
          <w:b/>
          <w:color w:val="auto"/>
          <w:kern w:val="0"/>
          <w:sz w:val="28"/>
          <w:szCs w:val="28"/>
        </w:rPr>
        <w:t>附件3</w:t>
      </w:r>
    </w:p>
    <w:p>
      <w:pPr>
        <w:spacing w:line="360" w:lineRule="auto"/>
        <w:jc w:val="center"/>
        <w:rPr>
          <w:rFonts w:ascii="宋体" w:hAnsi="宋体" w:eastAsia="宋体" w:cs="Times New Roman"/>
          <w:b/>
          <w:color w:val="auto"/>
          <w:kern w:val="0"/>
          <w:sz w:val="32"/>
          <w:szCs w:val="32"/>
        </w:rPr>
      </w:pPr>
      <w:r>
        <w:rPr>
          <w:rFonts w:hint="eastAsia" w:ascii="宋体" w:hAnsi="宋体" w:eastAsia="宋体" w:cs="Times New Roman"/>
          <w:b/>
          <w:color w:val="auto"/>
          <w:kern w:val="0"/>
          <w:sz w:val="32"/>
          <w:szCs w:val="32"/>
        </w:rPr>
        <w:t>绿色</w:t>
      </w:r>
      <w:r>
        <w:rPr>
          <w:rFonts w:ascii="宋体" w:hAnsi="宋体" w:eastAsia="宋体" w:cs="Times New Roman"/>
          <w:b/>
          <w:color w:val="auto"/>
          <w:kern w:val="0"/>
          <w:sz w:val="32"/>
          <w:szCs w:val="32"/>
        </w:rPr>
        <w:t>设计</w:t>
      </w:r>
      <w:r>
        <w:rPr>
          <w:rFonts w:hint="eastAsia" w:ascii="宋体" w:hAnsi="宋体" w:eastAsia="宋体" w:cs="Times New Roman"/>
          <w:b/>
          <w:color w:val="auto"/>
          <w:kern w:val="0"/>
          <w:sz w:val="32"/>
          <w:szCs w:val="32"/>
        </w:rPr>
        <w:t>评分表</w:t>
      </w:r>
    </w:p>
    <w:tbl>
      <w:tblPr>
        <w:tblStyle w:val="9"/>
        <w:tblW w:w="839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95"/>
        <w:gridCol w:w="3234"/>
        <w:gridCol w:w="2576"/>
        <w:gridCol w:w="1076"/>
        <w:gridCol w:w="101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tblHeader/>
          <w:jc w:val="center"/>
        </w:trPr>
        <w:tc>
          <w:tcPr>
            <w:tcW w:w="495" w:type="dxa"/>
            <w:vAlign w:val="center"/>
          </w:tcPr>
          <w:p>
            <w:pPr>
              <w:adjustRightInd w:val="0"/>
              <w:snapToGrid w:val="0"/>
              <w:spacing w:line="300" w:lineRule="exact"/>
              <w:jc w:val="center"/>
              <w:rPr>
                <w:rFonts w:ascii="宋体" w:hAnsi="宋体" w:eastAsia="宋体" w:cs="宋体"/>
                <w:b/>
                <w:bCs/>
                <w:color w:val="auto"/>
                <w:kern w:val="0"/>
                <w:szCs w:val="21"/>
                <w:lang w:eastAsia="en-US"/>
              </w:rPr>
            </w:pPr>
            <w:r>
              <w:rPr>
                <w:rFonts w:hint="eastAsia" w:ascii="宋体" w:hAnsi="宋体" w:eastAsia="宋体" w:cs="宋体"/>
                <w:b/>
                <w:bCs/>
                <w:color w:val="auto"/>
                <w:kern w:val="0"/>
                <w:szCs w:val="21"/>
                <w:lang w:eastAsia="en-US"/>
              </w:rPr>
              <w:t>序号</w:t>
            </w:r>
          </w:p>
        </w:tc>
        <w:tc>
          <w:tcPr>
            <w:tcW w:w="3234" w:type="dxa"/>
            <w:vAlign w:val="center"/>
          </w:tcPr>
          <w:p>
            <w:pPr>
              <w:adjustRightInd w:val="0"/>
              <w:snapToGrid w:val="0"/>
              <w:spacing w:line="300" w:lineRule="exact"/>
              <w:jc w:val="center"/>
              <w:rPr>
                <w:rFonts w:ascii="宋体" w:hAnsi="宋体" w:eastAsia="宋体" w:cs="宋体"/>
                <w:b/>
                <w:bCs/>
                <w:color w:val="auto"/>
                <w:kern w:val="0"/>
                <w:szCs w:val="21"/>
                <w:lang w:eastAsia="en-US"/>
              </w:rPr>
            </w:pPr>
            <w:r>
              <w:rPr>
                <w:rFonts w:hint="eastAsia" w:ascii="宋体" w:hAnsi="宋体" w:eastAsia="宋体" w:cs="宋体"/>
                <w:b/>
                <w:bCs/>
                <w:color w:val="auto"/>
                <w:kern w:val="0"/>
                <w:szCs w:val="21"/>
                <w:lang w:eastAsia="en-US"/>
              </w:rPr>
              <w:t>评价内容</w:t>
            </w:r>
          </w:p>
        </w:tc>
        <w:tc>
          <w:tcPr>
            <w:tcW w:w="2576" w:type="dxa"/>
            <w:vAlign w:val="center"/>
          </w:tcPr>
          <w:p>
            <w:pPr>
              <w:adjustRightInd w:val="0"/>
              <w:snapToGrid w:val="0"/>
              <w:spacing w:line="300" w:lineRule="exact"/>
              <w:jc w:val="center"/>
              <w:rPr>
                <w:rFonts w:ascii="宋体" w:hAnsi="宋体" w:eastAsia="宋体" w:cs="宋体"/>
                <w:b/>
                <w:bCs/>
                <w:color w:val="auto"/>
                <w:kern w:val="0"/>
                <w:szCs w:val="21"/>
                <w:lang w:eastAsia="en-US"/>
              </w:rPr>
            </w:pPr>
            <w:r>
              <w:rPr>
                <w:rFonts w:hint="eastAsia" w:ascii="宋体" w:hAnsi="宋体" w:eastAsia="宋体" w:cs="宋体"/>
                <w:b/>
                <w:bCs/>
                <w:color w:val="auto"/>
                <w:kern w:val="0"/>
                <w:szCs w:val="21"/>
                <w:lang w:eastAsia="en-US"/>
              </w:rPr>
              <w:t>评价方法</w:t>
            </w:r>
          </w:p>
        </w:tc>
        <w:tc>
          <w:tcPr>
            <w:tcW w:w="1076" w:type="dxa"/>
            <w:vAlign w:val="center"/>
          </w:tcPr>
          <w:p>
            <w:pPr>
              <w:adjustRightInd w:val="0"/>
              <w:snapToGrid w:val="0"/>
              <w:spacing w:line="300" w:lineRule="exact"/>
              <w:jc w:val="center"/>
              <w:rPr>
                <w:rFonts w:ascii="宋体" w:hAnsi="宋体" w:eastAsia="宋体" w:cs="宋体"/>
                <w:b/>
                <w:bCs/>
                <w:color w:val="auto"/>
                <w:kern w:val="0"/>
                <w:szCs w:val="21"/>
              </w:rPr>
            </w:pPr>
            <w:r>
              <w:rPr>
                <w:rFonts w:hint="eastAsia" w:ascii="宋体" w:hAnsi="宋体" w:eastAsia="宋体" w:cs="宋体"/>
                <w:b/>
                <w:bCs/>
                <w:color w:val="auto"/>
                <w:kern w:val="0"/>
                <w:szCs w:val="21"/>
                <w:lang w:val="en-US" w:eastAsia="zh-CN"/>
              </w:rPr>
              <w:t>分值</w:t>
            </w:r>
          </w:p>
        </w:tc>
        <w:tc>
          <w:tcPr>
            <w:tcW w:w="1015" w:type="dxa"/>
            <w:vAlign w:val="center"/>
          </w:tcPr>
          <w:p>
            <w:pPr>
              <w:adjustRightInd w:val="0"/>
              <w:snapToGrid w:val="0"/>
              <w:spacing w:line="300" w:lineRule="exact"/>
              <w:jc w:val="center"/>
              <w:rPr>
                <w:rFonts w:ascii="宋体" w:hAnsi="宋体" w:eastAsia="宋体" w:cs="宋体"/>
                <w:b/>
                <w:bCs/>
                <w:color w:val="auto"/>
                <w:kern w:val="0"/>
                <w:szCs w:val="21"/>
              </w:rPr>
            </w:pPr>
            <w:r>
              <w:rPr>
                <w:rFonts w:hint="eastAsia" w:ascii="Times New Roman" w:hAnsi="Times New Roman"/>
                <w:b/>
                <w:color w:val="auto"/>
                <w:kern w:val="0"/>
                <w:szCs w:val="21"/>
              </w:rPr>
              <w:t>得</w:t>
            </w:r>
            <w:r>
              <w:rPr>
                <w:rFonts w:ascii="Times New Roman" w:hAnsi="Times New Roman"/>
                <w:b/>
                <w:color w:val="auto"/>
                <w:kern w:val="0"/>
                <w:szCs w:val="21"/>
                <w:lang w:eastAsia="en-US"/>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8396" w:type="dxa"/>
            <w:gridSpan w:val="5"/>
            <w:shd w:val="clear" w:color="auto" w:fill="F1F1F1" w:themeFill="background1" w:themeFillShade="F2"/>
            <w:vAlign w:val="center"/>
          </w:tcPr>
          <w:p>
            <w:pPr>
              <w:adjustRightInd w:val="0"/>
              <w:snapToGrid w:val="0"/>
              <w:spacing w:line="300" w:lineRule="exact"/>
              <w:jc w:val="center"/>
              <w:rPr>
                <w:rFonts w:ascii="宋体" w:hAnsi="宋体" w:eastAsia="宋体" w:cs="宋体"/>
                <w:b/>
                <w:bCs/>
                <w:color w:val="auto"/>
                <w:kern w:val="0"/>
                <w:szCs w:val="21"/>
              </w:rPr>
            </w:pPr>
            <w:r>
              <w:rPr>
                <w:rFonts w:hint="eastAsia" w:ascii="宋体" w:hAnsi="宋体" w:eastAsia="宋体" w:cs="宋体"/>
                <w:b/>
                <w:bCs/>
                <w:color w:val="auto"/>
                <w:kern w:val="0"/>
                <w:szCs w:val="21"/>
              </w:rPr>
              <w:t>控制项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2"/>
                <w:kern w:val="0"/>
                <w:szCs w:val="21"/>
              </w:rPr>
            </w:pPr>
            <w:r>
              <w:rPr>
                <w:rFonts w:hint="eastAsia" w:ascii="宋体" w:hAnsi="宋体" w:eastAsia="宋体" w:cs="宋体"/>
                <w:b/>
                <w:color w:val="auto"/>
                <w:spacing w:val="-2"/>
                <w:kern w:val="0"/>
                <w:szCs w:val="21"/>
              </w:rPr>
              <w:t>1</w:t>
            </w:r>
          </w:p>
        </w:tc>
        <w:tc>
          <w:tcPr>
            <w:tcW w:w="3234" w:type="dxa"/>
            <w:vAlign w:val="center"/>
          </w:tcPr>
          <w:p>
            <w:pPr>
              <w:spacing w:line="240" w:lineRule="exact"/>
              <w:jc w:val="left"/>
              <w:rPr>
                <w:rFonts w:ascii="宋体" w:hAnsi="宋体" w:eastAsia="宋体" w:cs="宋体"/>
                <w:color w:val="auto"/>
                <w:szCs w:val="21"/>
              </w:rPr>
            </w:pPr>
            <w:r>
              <w:rPr>
                <w:rFonts w:hint="eastAsia" w:ascii="宋体" w:hAnsi="宋体" w:eastAsia="宋体" w:cs="宋体"/>
                <w:color w:val="auto"/>
                <w:szCs w:val="21"/>
              </w:rPr>
              <w:t>采用绿色建筑技术，绿色建筑等级不低于基本级。</w:t>
            </w:r>
          </w:p>
        </w:tc>
        <w:tc>
          <w:tcPr>
            <w:tcW w:w="2576" w:type="dxa"/>
            <w:vAlign w:val="center"/>
          </w:tcPr>
          <w:p>
            <w:pPr>
              <w:spacing w:line="240" w:lineRule="exact"/>
              <w:jc w:val="both"/>
              <w:rPr>
                <w:rFonts w:ascii="宋体" w:hAnsi="宋体" w:eastAsia="宋体" w:cs="宋体"/>
                <w:color w:val="auto"/>
                <w:szCs w:val="21"/>
              </w:rPr>
            </w:pPr>
            <w:r>
              <w:rPr>
                <w:rFonts w:hint="eastAsia" w:ascii="宋体" w:hAnsi="宋体" w:eastAsia="宋体" w:cs="宋体"/>
                <w:color w:val="auto"/>
                <w:szCs w:val="21"/>
              </w:rPr>
              <w:t>依据《绿色建筑评价标准》DB13(J)T8352-2020评价。</w:t>
            </w:r>
          </w:p>
        </w:tc>
        <w:tc>
          <w:tcPr>
            <w:tcW w:w="1076"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达标</w:t>
            </w:r>
          </w:p>
        </w:tc>
        <w:tc>
          <w:tcPr>
            <w:tcW w:w="1015" w:type="dxa"/>
            <w:vAlign w:val="center"/>
          </w:tcPr>
          <w:p>
            <w:pPr>
              <w:spacing w:line="240" w:lineRule="exact"/>
              <w:jc w:val="center"/>
              <w:rPr>
                <w:rFonts w:ascii="宋体" w:hAnsi="宋体" w:eastAsia="宋体" w:cs="宋体"/>
                <w:color w:val="auto"/>
                <w:szCs w:val="21"/>
              </w:rPr>
            </w:pPr>
            <w:r>
              <w:rPr>
                <w:rFonts w:hint="eastAsia" w:ascii="宋体" w:hAnsi="宋体" w:eastAsia="宋体" w:cs="宋体"/>
                <w:color w:val="auto"/>
                <w:szCs w:val="21"/>
              </w:rPr>
              <w:t>□达  标</w:t>
            </w:r>
          </w:p>
          <w:p>
            <w:pPr>
              <w:spacing w:line="240" w:lineRule="exact"/>
              <w:jc w:val="center"/>
              <w:rPr>
                <w:rFonts w:ascii="宋体" w:hAnsi="宋体" w:eastAsia="宋体" w:cs="宋体"/>
                <w:color w:val="auto"/>
                <w:szCs w:val="21"/>
              </w:rPr>
            </w:pPr>
            <w:r>
              <w:rPr>
                <w:rFonts w:hint="eastAsia" w:ascii="宋体" w:hAnsi="宋体" w:eastAsia="宋体" w:cs="宋体"/>
                <w:color w:val="auto"/>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2"/>
                <w:kern w:val="0"/>
                <w:szCs w:val="21"/>
              </w:rPr>
            </w:pPr>
            <w:r>
              <w:rPr>
                <w:rFonts w:hint="eastAsia" w:ascii="宋体" w:hAnsi="宋体" w:eastAsia="宋体" w:cs="宋体"/>
                <w:b/>
                <w:color w:val="auto"/>
                <w:spacing w:val="-2"/>
                <w:kern w:val="0"/>
                <w:szCs w:val="21"/>
              </w:rPr>
              <w:t>2</w:t>
            </w:r>
          </w:p>
        </w:tc>
        <w:tc>
          <w:tcPr>
            <w:tcW w:w="3234" w:type="dxa"/>
            <w:vAlign w:val="center"/>
          </w:tcPr>
          <w:p>
            <w:pPr>
              <w:spacing w:line="240" w:lineRule="exact"/>
              <w:jc w:val="left"/>
              <w:rPr>
                <w:rFonts w:ascii="宋体" w:hAnsi="宋体" w:eastAsia="宋体" w:cs="宋体"/>
                <w:color w:val="auto"/>
                <w:szCs w:val="21"/>
              </w:rPr>
            </w:pPr>
            <w:r>
              <w:rPr>
                <w:rFonts w:hint="eastAsia" w:ascii="宋体" w:hAnsi="宋体" w:eastAsia="宋体" w:cs="宋体"/>
                <w:color w:val="auto"/>
                <w:szCs w:val="21"/>
              </w:rPr>
              <w:t>采用 BIM数字化设计方式。</w:t>
            </w:r>
          </w:p>
        </w:tc>
        <w:tc>
          <w:tcPr>
            <w:tcW w:w="2576" w:type="dxa"/>
            <w:vAlign w:val="center"/>
          </w:tcPr>
          <w:p>
            <w:pPr>
              <w:spacing w:line="240" w:lineRule="exact"/>
              <w:jc w:val="both"/>
              <w:rPr>
                <w:rFonts w:hint="eastAsia" w:ascii="宋体" w:hAnsi="宋体" w:eastAsia="宋体" w:cs="宋体"/>
                <w:color w:val="auto"/>
                <w:szCs w:val="21"/>
                <w:lang w:eastAsia="zh-CN"/>
              </w:rPr>
            </w:pPr>
            <w:r>
              <w:rPr>
                <w:rFonts w:hint="eastAsia" w:ascii="宋体" w:hAnsi="宋体" w:eastAsia="宋体" w:cs="宋体"/>
                <w:color w:val="auto"/>
                <w:szCs w:val="21"/>
              </w:rPr>
              <w:t>查看相关文件，及实施效果</w:t>
            </w:r>
            <w:r>
              <w:rPr>
                <w:rFonts w:hint="eastAsia" w:ascii="宋体" w:hAnsi="宋体" w:eastAsia="宋体" w:cs="宋体"/>
                <w:color w:val="auto"/>
                <w:szCs w:val="21"/>
                <w:lang w:eastAsia="zh-CN"/>
              </w:rPr>
              <w:t>。</w:t>
            </w:r>
          </w:p>
        </w:tc>
        <w:tc>
          <w:tcPr>
            <w:tcW w:w="1076"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达标</w:t>
            </w:r>
          </w:p>
        </w:tc>
        <w:tc>
          <w:tcPr>
            <w:tcW w:w="1015" w:type="dxa"/>
            <w:vAlign w:val="center"/>
          </w:tcPr>
          <w:p>
            <w:pPr>
              <w:spacing w:line="240" w:lineRule="exact"/>
              <w:jc w:val="center"/>
              <w:rPr>
                <w:rFonts w:ascii="宋体" w:hAnsi="宋体" w:eastAsia="宋体" w:cs="宋体"/>
                <w:color w:val="auto"/>
                <w:szCs w:val="21"/>
              </w:rPr>
            </w:pPr>
            <w:r>
              <w:rPr>
                <w:rFonts w:hint="eastAsia" w:ascii="宋体" w:hAnsi="宋体" w:eastAsia="宋体" w:cs="宋体"/>
                <w:color w:val="auto"/>
                <w:szCs w:val="21"/>
              </w:rPr>
              <w:t>□达  标</w:t>
            </w:r>
          </w:p>
          <w:p>
            <w:pPr>
              <w:jc w:val="center"/>
              <w:rPr>
                <w:rFonts w:ascii="宋体" w:hAnsi="宋体" w:eastAsia="宋体" w:cs="宋体"/>
                <w:color w:val="auto"/>
                <w:szCs w:val="21"/>
              </w:rPr>
            </w:pPr>
            <w:r>
              <w:rPr>
                <w:rFonts w:hint="eastAsia" w:ascii="宋体" w:hAnsi="宋体" w:eastAsia="宋体" w:cs="宋体"/>
                <w:color w:val="auto"/>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6"/>
                <w:kern w:val="0"/>
                <w:szCs w:val="21"/>
              </w:rPr>
            </w:pPr>
            <w:r>
              <w:rPr>
                <w:rFonts w:hint="eastAsia" w:ascii="宋体" w:hAnsi="宋体" w:eastAsia="宋体" w:cs="宋体"/>
                <w:b/>
                <w:color w:val="auto"/>
                <w:spacing w:val="6"/>
                <w:kern w:val="0"/>
                <w:szCs w:val="21"/>
              </w:rPr>
              <w:t>3</w:t>
            </w:r>
          </w:p>
        </w:tc>
        <w:tc>
          <w:tcPr>
            <w:tcW w:w="3234" w:type="dxa"/>
            <w:vAlign w:val="center"/>
          </w:tcPr>
          <w:p>
            <w:pPr>
              <w:jc w:val="left"/>
              <w:rPr>
                <w:rFonts w:ascii="宋体" w:hAnsi="宋体" w:eastAsia="宋体" w:cs="宋体"/>
                <w:color w:val="auto"/>
                <w:szCs w:val="21"/>
                <w:highlight w:val="yellow"/>
              </w:rPr>
            </w:pPr>
            <w:r>
              <w:rPr>
                <w:rFonts w:hint="eastAsia" w:ascii="宋体" w:hAnsi="宋体" w:eastAsia="宋体" w:cs="宋体"/>
                <w:color w:val="auto"/>
                <w:szCs w:val="21"/>
              </w:rPr>
              <w:t>建筑材料的选用符合国家和地方相关标准规范环保要求。</w:t>
            </w:r>
          </w:p>
        </w:tc>
        <w:tc>
          <w:tcPr>
            <w:tcW w:w="2576"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rPr>
              <w:t>符合国家和地方相关标准规范环保要求</w:t>
            </w:r>
            <w:r>
              <w:rPr>
                <w:rFonts w:hint="eastAsia" w:ascii="宋体" w:hAnsi="宋体" w:eastAsia="宋体" w:cs="宋体"/>
                <w:color w:val="auto"/>
                <w:szCs w:val="21"/>
                <w:lang w:eastAsia="zh-CN"/>
              </w:rPr>
              <w:t>。</w:t>
            </w:r>
          </w:p>
        </w:tc>
        <w:tc>
          <w:tcPr>
            <w:tcW w:w="1076" w:type="dxa"/>
            <w:vAlign w:val="center"/>
          </w:tcPr>
          <w:p>
            <w:pPr>
              <w:jc w:val="center"/>
              <w:rPr>
                <w:rFonts w:ascii="宋体" w:hAnsi="宋体" w:eastAsia="宋体" w:cs="宋体"/>
                <w:color w:val="auto"/>
                <w:szCs w:val="21"/>
              </w:rPr>
            </w:pPr>
            <w:r>
              <w:rPr>
                <w:rFonts w:hint="eastAsia" w:ascii="宋体" w:hAnsi="宋体" w:eastAsia="宋体" w:cs="宋体"/>
                <w:color w:val="auto"/>
                <w:szCs w:val="21"/>
              </w:rPr>
              <w:t>达标</w:t>
            </w:r>
          </w:p>
        </w:tc>
        <w:tc>
          <w:tcPr>
            <w:tcW w:w="1015" w:type="dxa"/>
            <w:vAlign w:val="center"/>
          </w:tcPr>
          <w:p>
            <w:pPr>
              <w:spacing w:line="240" w:lineRule="exact"/>
              <w:jc w:val="center"/>
              <w:rPr>
                <w:rFonts w:ascii="宋体" w:hAnsi="宋体" w:eastAsia="宋体" w:cs="宋体"/>
                <w:color w:val="auto"/>
                <w:szCs w:val="21"/>
              </w:rPr>
            </w:pPr>
            <w:r>
              <w:rPr>
                <w:rFonts w:hint="eastAsia" w:ascii="宋体" w:hAnsi="宋体" w:eastAsia="宋体" w:cs="宋体"/>
                <w:color w:val="auto"/>
                <w:szCs w:val="21"/>
              </w:rPr>
              <w:t>□达  标</w:t>
            </w:r>
          </w:p>
          <w:p>
            <w:pPr>
              <w:jc w:val="center"/>
              <w:rPr>
                <w:rFonts w:ascii="宋体" w:hAnsi="宋体" w:eastAsia="宋体" w:cs="宋体"/>
                <w:color w:val="auto"/>
                <w:szCs w:val="21"/>
              </w:rPr>
            </w:pPr>
            <w:r>
              <w:rPr>
                <w:rFonts w:hint="eastAsia" w:ascii="宋体" w:hAnsi="宋体" w:eastAsia="宋体" w:cs="宋体"/>
                <w:color w:val="auto"/>
                <w:szCs w:val="21"/>
              </w:rPr>
              <w:sym w:font="Wingdings 2" w:char="00A3"/>
            </w:r>
            <w:r>
              <w:rPr>
                <w:rFonts w:hint="eastAsia" w:ascii="宋体" w:hAnsi="宋体" w:eastAsia="宋体" w:cs="宋体"/>
                <w:color w:val="auto"/>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54" w:hRule="atLeast"/>
          <w:jc w:val="center"/>
        </w:trPr>
        <w:tc>
          <w:tcPr>
            <w:tcW w:w="8396" w:type="dxa"/>
            <w:gridSpan w:val="5"/>
            <w:shd w:val="clear" w:color="auto" w:fill="F1F1F1" w:themeFill="background1" w:themeFillShade="F2"/>
            <w:vAlign w:val="center"/>
          </w:tcPr>
          <w:p>
            <w:pPr>
              <w:jc w:val="center"/>
              <w:rPr>
                <w:rFonts w:ascii="宋体" w:hAnsi="宋体" w:eastAsia="宋体" w:cs="宋体"/>
                <w:color w:val="auto"/>
                <w:szCs w:val="21"/>
                <w:highlight w:val="yellow"/>
              </w:rPr>
            </w:pPr>
            <w:r>
              <w:rPr>
                <w:rFonts w:hint="eastAsia" w:ascii="宋体" w:hAnsi="宋体" w:eastAsia="宋体" w:cs="宋体"/>
                <w:b/>
                <w:bCs/>
                <w:color w:val="auto"/>
                <w:kern w:val="0"/>
                <w:szCs w:val="21"/>
                <w:lang w:eastAsia="en-US"/>
              </w:rPr>
              <w:t>一般项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6"/>
                <w:kern w:val="0"/>
                <w:szCs w:val="21"/>
              </w:rPr>
            </w:pPr>
            <w:r>
              <w:rPr>
                <w:rFonts w:hint="eastAsia" w:ascii="宋体" w:hAnsi="宋体" w:eastAsia="宋体" w:cs="宋体"/>
                <w:b/>
                <w:color w:val="auto"/>
                <w:spacing w:val="6"/>
                <w:kern w:val="0"/>
                <w:szCs w:val="21"/>
              </w:rPr>
              <w:t>4</w:t>
            </w:r>
          </w:p>
        </w:tc>
        <w:tc>
          <w:tcPr>
            <w:tcW w:w="3234" w:type="dxa"/>
            <w:vAlign w:val="center"/>
          </w:tcPr>
          <w:p>
            <w:pPr>
              <w:spacing w:line="240" w:lineRule="exact"/>
              <w:jc w:val="left"/>
              <w:rPr>
                <w:rFonts w:ascii="宋体" w:hAnsi="宋体" w:eastAsia="宋体" w:cs="宋体"/>
                <w:color w:val="auto"/>
                <w:szCs w:val="21"/>
              </w:rPr>
            </w:pPr>
            <w:r>
              <w:rPr>
                <w:rFonts w:hint="eastAsia" w:ascii="宋体" w:hAnsi="宋体" w:eastAsia="宋体" w:cs="宋体"/>
                <w:color w:val="auto"/>
                <w:szCs w:val="21"/>
              </w:rPr>
              <w:t>依据《绿色建筑评价标准》DB13(J)T8352-2020评价绿色建筑等级。一星级得40分、二星级得45分、三星级得50分</w:t>
            </w:r>
          </w:p>
        </w:tc>
        <w:tc>
          <w:tcPr>
            <w:tcW w:w="2576" w:type="dxa"/>
            <w:vAlign w:val="center"/>
          </w:tcPr>
          <w:p>
            <w:pPr>
              <w:spacing w:line="240" w:lineRule="exact"/>
              <w:jc w:val="both"/>
              <w:rPr>
                <w:rFonts w:hint="eastAsia" w:ascii="宋体" w:hAnsi="宋体" w:eastAsia="宋体" w:cs="宋体"/>
                <w:color w:val="auto"/>
                <w:szCs w:val="21"/>
                <w:lang w:eastAsia="zh-CN"/>
              </w:rPr>
            </w:pPr>
            <w:r>
              <w:rPr>
                <w:rFonts w:hint="eastAsia" w:ascii="宋体" w:hAnsi="宋体" w:eastAsia="宋体" w:cs="宋体"/>
                <w:color w:val="auto"/>
                <w:szCs w:val="21"/>
              </w:rPr>
              <w:t>查看绿色建筑评价文件</w:t>
            </w:r>
            <w:r>
              <w:rPr>
                <w:rFonts w:hint="eastAsia" w:ascii="宋体" w:hAnsi="宋体" w:eastAsia="宋体" w:cs="宋体"/>
                <w:color w:val="auto"/>
                <w:szCs w:val="21"/>
                <w:lang w:eastAsia="zh-CN"/>
              </w:rPr>
              <w:t>。</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40、45、</w:t>
            </w:r>
            <w:r>
              <w:rPr>
                <w:rFonts w:hint="default" w:ascii="Times New Roman" w:hAnsi="Times New Roman" w:eastAsia="宋体" w:cs="Times New Roman"/>
                <w:color w:val="auto"/>
                <w:szCs w:val="21"/>
              </w:rPr>
              <w:t>50</w:t>
            </w:r>
          </w:p>
        </w:tc>
        <w:tc>
          <w:tcPr>
            <w:tcW w:w="1015" w:type="dxa"/>
            <w:vAlign w:val="center"/>
          </w:tcPr>
          <w:p>
            <w:pPr>
              <w:jc w:val="center"/>
              <w:rPr>
                <w:rFonts w:ascii="宋体" w:hAnsi="宋体" w:eastAsia="宋体" w:cs="宋体"/>
                <w:color w:val="auto"/>
                <w:szCs w:val="21"/>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5</w:t>
            </w:r>
          </w:p>
        </w:tc>
        <w:tc>
          <w:tcPr>
            <w:tcW w:w="3234" w:type="dxa"/>
            <w:vAlign w:val="center"/>
          </w:tcPr>
          <w:p>
            <w:pPr>
              <w:jc w:val="left"/>
              <w:rPr>
                <w:rFonts w:ascii="宋体" w:hAnsi="宋体" w:eastAsia="宋体" w:cs="宋体"/>
                <w:color w:val="auto"/>
                <w:szCs w:val="21"/>
                <w:highlight w:val="yellow"/>
              </w:rPr>
            </w:pPr>
            <w:r>
              <w:rPr>
                <w:rFonts w:hint="eastAsia" w:ascii="宋体" w:hAnsi="宋体" w:eastAsia="宋体" w:cs="宋体"/>
                <w:color w:val="auto"/>
                <w:szCs w:val="21"/>
                <w:lang w:val="en-US" w:eastAsia="zh-CN"/>
              </w:rPr>
              <w:t>主要</w:t>
            </w:r>
            <w:r>
              <w:rPr>
                <w:rFonts w:hint="eastAsia" w:ascii="宋体" w:hAnsi="宋体" w:eastAsia="宋体" w:cs="宋体"/>
                <w:color w:val="auto"/>
                <w:szCs w:val="21"/>
              </w:rPr>
              <w:t>建筑材料选用获得绿色建材评价认证标识的建筑材料和产品。</w:t>
            </w:r>
          </w:p>
        </w:tc>
        <w:tc>
          <w:tcPr>
            <w:tcW w:w="2576"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rPr>
              <w:t>查阅相关设计文件、计算分析报告</w:t>
            </w:r>
            <w:r>
              <w:rPr>
                <w:rFonts w:hint="eastAsia" w:ascii="宋体" w:hAnsi="宋体" w:eastAsia="宋体" w:cs="宋体"/>
                <w:color w:val="auto"/>
                <w:szCs w:val="21"/>
                <w:lang w:eastAsia="zh-CN"/>
              </w:rPr>
              <w:t>。</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6</w:t>
            </w:r>
          </w:p>
        </w:tc>
        <w:tc>
          <w:tcPr>
            <w:tcW w:w="3234" w:type="dxa"/>
            <w:vAlign w:val="center"/>
          </w:tcPr>
          <w:p>
            <w:pPr>
              <w:jc w:val="left"/>
              <w:rPr>
                <w:rFonts w:ascii="宋体" w:hAnsi="宋体" w:eastAsia="宋体" w:cs="宋体"/>
                <w:color w:val="auto"/>
                <w:szCs w:val="21"/>
                <w:highlight w:val="yellow"/>
              </w:rPr>
            </w:pPr>
            <w:r>
              <w:rPr>
                <w:rFonts w:hint="eastAsia" w:ascii="宋体" w:hAnsi="宋体" w:eastAsia="宋体" w:cs="宋体"/>
                <w:color w:val="auto"/>
                <w:szCs w:val="21"/>
                <w:lang w:val="en-US" w:eastAsia="zh-CN"/>
              </w:rPr>
              <w:t>主要</w:t>
            </w:r>
            <w:r>
              <w:rPr>
                <w:rFonts w:hint="eastAsia" w:ascii="宋体" w:hAnsi="宋体" w:eastAsia="宋体" w:cs="宋体"/>
                <w:color w:val="auto"/>
                <w:szCs w:val="21"/>
              </w:rPr>
              <w:t>建筑材料采用高强、高性能材料。</w:t>
            </w:r>
          </w:p>
        </w:tc>
        <w:tc>
          <w:tcPr>
            <w:tcW w:w="2576"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rPr>
              <w:t>查阅相关设计文件、各类材料用量比例计算书</w:t>
            </w:r>
            <w:r>
              <w:rPr>
                <w:rFonts w:hint="eastAsia" w:ascii="宋体" w:hAnsi="宋体" w:eastAsia="宋体" w:cs="宋体"/>
                <w:color w:val="auto"/>
                <w:szCs w:val="21"/>
                <w:lang w:eastAsia="zh-CN"/>
              </w:rPr>
              <w:t>。</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7</w:t>
            </w:r>
          </w:p>
        </w:tc>
        <w:tc>
          <w:tcPr>
            <w:tcW w:w="3234" w:type="dxa"/>
            <w:vAlign w:val="center"/>
          </w:tcPr>
          <w:p>
            <w:pPr>
              <w:jc w:val="left"/>
              <w:rPr>
                <w:rFonts w:ascii="宋体" w:hAnsi="宋体" w:eastAsia="宋体" w:cs="宋体"/>
                <w:color w:val="auto"/>
                <w:szCs w:val="21"/>
                <w:highlight w:val="yellow"/>
              </w:rPr>
            </w:pPr>
            <w:r>
              <w:rPr>
                <w:rFonts w:hint="eastAsia" w:ascii="宋体" w:hAnsi="宋体" w:eastAsia="宋体" w:cs="宋体"/>
                <w:color w:val="auto"/>
                <w:szCs w:val="21"/>
                <w:lang w:val="en-US" w:eastAsia="zh-CN"/>
              </w:rPr>
              <w:t>主要</w:t>
            </w:r>
            <w:r>
              <w:rPr>
                <w:rFonts w:hint="eastAsia" w:ascii="宋体" w:hAnsi="宋体" w:eastAsia="宋体" w:cs="宋体"/>
                <w:color w:val="auto"/>
                <w:szCs w:val="21"/>
              </w:rPr>
              <w:t>建筑材料选择地方性建筑材料和当地推广使用的建筑材料。</w:t>
            </w:r>
          </w:p>
        </w:tc>
        <w:tc>
          <w:tcPr>
            <w:tcW w:w="2576" w:type="dxa"/>
            <w:vAlign w:val="center"/>
          </w:tcPr>
          <w:p>
            <w:pPr>
              <w:jc w:val="both"/>
              <w:rPr>
                <w:rFonts w:ascii="宋体" w:hAnsi="宋体" w:eastAsia="宋体" w:cs="宋体"/>
                <w:color w:val="auto"/>
                <w:szCs w:val="21"/>
              </w:rPr>
            </w:pPr>
            <w:r>
              <w:rPr>
                <w:rFonts w:hint="eastAsia" w:ascii="宋体" w:hAnsi="宋体" w:eastAsia="宋体" w:cs="宋体"/>
                <w:color w:val="auto"/>
                <w:szCs w:val="21"/>
              </w:rPr>
              <w:t>查看相关证明文件</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8</w:t>
            </w:r>
          </w:p>
        </w:tc>
        <w:tc>
          <w:tcPr>
            <w:tcW w:w="3234" w:type="dxa"/>
            <w:vAlign w:val="center"/>
          </w:tcPr>
          <w:p>
            <w:pPr>
              <w:jc w:val="left"/>
              <w:rPr>
                <w:rFonts w:ascii="宋体" w:hAnsi="宋体" w:eastAsia="宋体" w:cs="宋体"/>
                <w:color w:val="auto"/>
                <w:szCs w:val="21"/>
                <w:highlight w:val="yellow"/>
              </w:rPr>
            </w:pPr>
            <w:r>
              <w:rPr>
                <w:rFonts w:hint="eastAsia" w:ascii="宋体" w:hAnsi="宋体" w:eastAsia="宋体" w:cs="宋体"/>
                <w:color w:val="auto"/>
                <w:szCs w:val="21"/>
              </w:rPr>
              <w:t>建筑装修采用装配式装修，选用集成厨卫等工业化内装部品。</w:t>
            </w:r>
          </w:p>
        </w:tc>
        <w:tc>
          <w:tcPr>
            <w:tcW w:w="2576"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rPr>
              <w:t>查阅相关设计文件（建筑及装修专业施工图、工业化内装部品施工图）、工业化内装部品用量比例计算书</w:t>
            </w:r>
            <w:r>
              <w:rPr>
                <w:rFonts w:hint="eastAsia" w:ascii="宋体" w:hAnsi="宋体" w:eastAsia="宋体" w:cs="宋体"/>
                <w:color w:val="auto"/>
                <w:szCs w:val="21"/>
                <w:lang w:eastAsia="zh-CN"/>
              </w:rPr>
              <w:t>。</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9</w:t>
            </w:r>
          </w:p>
        </w:tc>
        <w:tc>
          <w:tcPr>
            <w:tcW w:w="3234" w:type="dxa"/>
            <w:vAlign w:val="center"/>
          </w:tcPr>
          <w:p>
            <w:pPr>
              <w:jc w:val="left"/>
              <w:rPr>
                <w:rFonts w:ascii="宋体" w:hAnsi="宋体" w:eastAsia="宋体" w:cs="宋体"/>
                <w:color w:val="auto"/>
                <w:szCs w:val="21"/>
              </w:rPr>
            </w:pPr>
            <w:r>
              <w:rPr>
                <w:rFonts w:hint="eastAsia" w:ascii="宋体" w:hAnsi="宋体" w:eastAsia="宋体" w:cs="宋体"/>
                <w:color w:val="auto"/>
                <w:szCs w:val="21"/>
              </w:rPr>
              <w:t>建筑结构材料选用高耐久性混凝土、耐候和耐火结构钢、耐久木材等。</w:t>
            </w:r>
          </w:p>
        </w:tc>
        <w:tc>
          <w:tcPr>
            <w:tcW w:w="2576"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rPr>
              <w:t>查看相关证明文件</w:t>
            </w:r>
            <w:r>
              <w:rPr>
                <w:rFonts w:hint="eastAsia" w:ascii="宋体" w:hAnsi="宋体" w:eastAsia="宋体" w:cs="宋体"/>
                <w:color w:val="auto"/>
                <w:szCs w:val="21"/>
                <w:lang w:eastAsia="zh-CN"/>
              </w:rPr>
              <w:t>。</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10</w:t>
            </w:r>
          </w:p>
        </w:tc>
        <w:tc>
          <w:tcPr>
            <w:tcW w:w="3234" w:type="dxa"/>
            <w:vAlign w:val="center"/>
          </w:tcPr>
          <w:p>
            <w:pPr>
              <w:jc w:val="left"/>
              <w:rPr>
                <w:rFonts w:ascii="宋体" w:hAnsi="宋体" w:eastAsia="宋体" w:cs="宋体"/>
                <w:color w:val="auto"/>
                <w:szCs w:val="21"/>
              </w:rPr>
            </w:pPr>
            <w:r>
              <w:rPr>
                <w:rFonts w:hint="eastAsia" w:ascii="宋体" w:hAnsi="宋体" w:eastAsia="宋体" w:cs="宋体"/>
                <w:color w:val="auto"/>
                <w:szCs w:val="21"/>
              </w:rPr>
              <w:t>外饰面材料、室内装饰装修材料、防水和密封材料等选用耐久性好、易维护的材料。</w:t>
            </w:r>
          </w:p>
        </w:tc>
        <w:tc>
          <w:tcPr>
            <w:tcW w:w="2576"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rPr>
              <w:t>查看相关证明文件</w:t>
            </w:r>
            <w:r>
              <w:rPr>
                <w:rFonts w:hint="eastAsia" w:ascii="宋体" w:hAnsi="宋体" w:eastAsia="宋体" w:cs="宋体"/>
                <w:color w:val="auto"/>
                <w:szCs w:val="21"/>
                <w:lang w:eastAsia="zh-CN"/>
              </w:rPr>
              <w:t>。</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11</w:t>
            </w:r>
          </w:p>
        </w:tc>
        <w:tc>
          <w:tcPr>
            <w:tcW w:w="3234" w:type="dxa"/>
            <w:vAlign w:val="center"/>
          </w:tcPr>
          <w:p>
            <w:pPr>
              <w:jc w:val="left"/>
              <w:rPr>
                <w:rFonts w:hint="default" w:ascii="宋体" w:hAnsi="宋体" w:eastAsia="宋体" w:cs="宋体"/>
                <w:color w:val="auto"/>
                <w:szCs w:val="21"/>
                <w:lang w:val="en-US" w:eastAsia="zh-CN"/>
              </w:rPr>
            </w:pPr>
            <w:r>
              <w:rPr>
                <w:rFonts w:hint="eastAsia" w:ascii="宋体" w:hAnsi="宋体" w:eastAsia="宋体" w:cs="宋体"/>
                <w:color w:val="auto"/>
                <w:szCs w:val="21"/>
              </w:rPr>
              <w:t>选用可再循环材料</w:t>
            </w:r>
            <w:r>
              <w:rPr>
                <w:rFonts w:hint="eastAsia" w:ascii="宋体" w:hAnsi="宋体" w:eastAsia="宋体" w:cs="宋体"/>
                <w:color w:val="auto"/>
                <w:szCs w:val="21"/>
                <w:lang w:val="en-US" w:eastAsia="zh-CN"/>
              </w:rPr>
              <w:t>和</w:t>
            </w:r>
            <w:r>
              <w:rPr>
                <w:rFonts w:hint="eastAsia" w:ascii="宋体" w:hAnsi="宋体" w:eastAsia="宋体" w:cs="宋体"/>
                <w:color w:val="auto"/>
                <w:szCs w:val="21"/>
              </w:rPr>
              <w:t>可再利用材料</w:t>
            </w:r>
            <w:r>
              <w:rPr>
                <w:rFonts w:hint="eastAsia" w:ascii="宋体" w:hAnsi="宋体" w:eastAsia="宋体" w:cs="宋体"/>
                <w:color w:val="auto"/>
                <w:szCs w:val="21"/>
                <w:lang w:val="en-US" w:eastAsia="zh-CN"/>
              </w:rPr>
              <w:t>用量比例不低于6%。</w:t>
            </w:r>
          </w:p>
        </w:tc>
        <w:tc>
          <w:tcPr>
            <w:tcW w:w="2576"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rPr>
              <w:t>查阅工程概预算材料清单、各类材料用量比例计算书，各种建筑材料的使用部位及使用量一览表</w:t>
            </w:r>
            <w:r>
              <w:rPr>
                <w:rFonts w:hint="eastAsia" w:ascii="宋体" w:hAnsi="宋体" w:eastAsia="宋体" w:cs="宋体"/>
                <w:color w:val="auto"/>
                <w:szCs w:val="21"/>
                <w:lang w:val="en-US" w:eastAsia="zh-CN"/>
              </w:rPr>
              <w:t>等</w:t>
            </w:r>
            <w:r>
              <w:rPr>
                <w:rFonts w:hint="eastAsia" w:ascii="宋体" w:hAnsi="宋体" w:eastAsia="宋体" w:cs="宋体"/>
                <w:color w:val="auto"/>
                <w:szCs w:val="21"/>
              </w:rPr>
              <w:t>相关证明文件</w:t>
            </w:r>
            <w:r>
              <w:rPr>
                <w:rFonts w:hint="eastAsia" w:ascii="宋体" w:hAnsi="宋体" w:eastAsia="宋体" w:cs="宋体"/>
                <w:color w:val="auto"/>
                <w:szCs w:val="21"/>
                <w:lang w:eastAsia="zh-CN"/>
              </w:rPr>
              <w:t>。</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12</w:t>
            </w:r>
          </w:p>
        </w:tc>
        <w:tc>
          <w:tcPr>
            <w:tcW w:w="3234" w:type="dxa"/>
            <w:vAlign w:val="center"/>
          </w:tcPr>
          <w:p>
            <w:pPr>
              <w:jc w:val="left"/>
              <w:rPr>
                <w:rFonts w:ascii="宋体" w:hAnsi="宋体" w:eastAsia="宋体" w:cs="宋体"/>
                <w:color w:val="auto"/>
                <w:szCs w:val="21"/>
              </w:rPr>
            </w:pPr>
            <w:r>
              <w:rPr>
                <w:rFonts w:hint="eastAsia" w:ascii="宋体" w:hAnsi="宋体" w:eastAsia="宋体" w:cs="宋体"/>
                <w:color w:val="auto"/>
                <w:szCs w:val="21"/>
              </w:rPr>
              <w:t>统筹建筑、结构、机电设备、装饰装修、景观园林等各专业设计，统筹策划、设计、施工、交付等建造全过程，实现工程全寿命期系统化集成设计。</w:t>
            </w:r>
          </w:p>
        </w:tc>
        <w:tc>
          <w:tcPr>
            <w:tcW w:w="2576"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rPr>
              <w:t>查看各专业协同设计文件</w:t>
            </w:r>
            <w:r>
              <w:rPr>
                <w:rFonts w:hint="eastAsia" w:ascii="宋体" w:hAnsi="宋体" w:eastAsia="宋体" w:cs="宋体"/>
                <w:color w:val="auto"/>
                <w:szCs w:val="21"/>
                <w:lang w:eastAsia="zh-CN"/>
              </w:rPr>
              <w:t>。</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13</w:t>
            </w:r>
          </w:p>
        </w:tc>
        <w:tc>
          <w:tcPr>
            <w:tcW w:w="3234" w:type="dxa"/>
            <w:vAlign w:val="center"/>
          </w:tcPr>
          <w:p>
            <w:pPr>
              <w:jc w:val="left"/>
              <w:rPr>
                <w:rFonts w:ascii="宋体" w:hAnsi="宋体" w:eastAsia="宋体" w:cs="宋体"/>
                <w:color w:val="auto"/>
                <w:szCs w:val="21"/>
              </w:rPr>
            </w:pPr>
            <w:r>
              <w:rPr>
                <w:rFonts w:hint="eastAsia" w:ascii="宋体" w:hAnsi="宋体" w:eastAsia="宋体" w:cs="宋体"/>
                <w:color w:val="auto"/>
                <w:szCs w:val="21"/>
              </w:rPr>
              <w:t>采用协同设计平台，集成技术措施、产品性能清单、成本数据库等，实现全过程、全专业、各参与方的协同设计。</w:t>
            </w:r>
          </w:p>
        </w:tc>
        <w:tc>
          <w:tcPr>
            <w:tcW w:w="2576" w:type="dxa"/>
            <w:vAlign w:val="center"/>
          </w:tcPr>
          <w:p>
            <w:pPr>
              <w:jc w:val="both"/>
              <w:rPr>
                <w:rFonts w:ascii="宋体" w:hAnsi="宋体" w:eastAsia="宋体" w:cs="宋体"/>
                <w:color w:val="auto"/>
                <w:szCs w:val="21"/>
              </w:rPr>
            </w:pPr>
            <w:r>
              <w:rPr>
                <w:rFonts w:hint="eastAsia" w:ascii="宋体" w:hAnsi="宋体" w:eastAsia="宋体" w:cs="宋体"/>
                <w:color w:val="auto"/>
                <w:szCs w:val="21"/>
              </w:rPr>
              <w:t>阐述采用情况，并提供相关证明文件。</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14</w:t>
            </w:r>
          </w:p>
        </w:tc>
        <w:tc>
          <w:tcPr>
            <w:tcW w:w="3234" w:type="dxa"/>
            <w:vAlign w:val="center"/>
          </w:tcPr>
          <w:p>
            <w:pPr>
              <w:jc w:val="left"/>
              <w:rPr>
                <w:rFonts w:hint="default" w:ascii="宋体" w:hAnsi="宋体" w:eastAsia="宋体" w:cs="宋体"/>
                <w:color w:val="auto"/>
                <w:szCs w:val="21"/>
                <w:lang w:val="en-US" w:eastAsia="zh-CN"/>
              </w:rPr>
            </w:pPr>
            <w:r>
              <w:rPr>
                <w:rFonts w:hint="eastAsia" w:ascii="宋体" w:hAnsi="宋体" w:eastAsia="宋体" w:cs="宋体"/>
                <w:color w:val="auto"/>
                <w:szCs w:val="21"/>
              </w:rPr>
              <w:t>统筹</w:t>
            </w:r>
            <w:r>
              <w:rPr>
                <w:rFonts w:hint="eastAsia" w:ascii="宋体" w:hAnsi="宋体" w:eastAsia="宋体" w:cs="宋体"/>
                <w:color w:val="auto"/>
                <w:szCs w:val="21"/>
                <w:lang w:val="en-US" w:eastAsia="zh-CN"/>
              </w:rPr>
              <w:t>备案</w:t>
            </w:r>
            <w:r>
              <w:rPr>
                <w:rFonts w:hint="eastAsia" w:ascii="宋体" w:hAnsi="宋体" w:eastAsia="宋体" w:cs="宋体"/>
                <w:color w:val="auto"/>
                <w:szCs w:val="21"/>
              </w:rPr>
              <w:t>各类建材及设备的设计使用年限</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综合考虑项目交付使用后的维护与更换。</w:t>
            </w:r>
          </w:p>
        </w:tc>
        <w:tc>
          <w:tcPr>
            <w:tcW w:w="2576"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查阅</w:t>
            </w:r>
            <w:r>
              <w:rPr>
                <w:rFonts w:hint="eastAsia" w:ascii="宋体" w:hAnsi="宋体" w:eastAsia="宋体" w:cs="宋体"/>
                <w:color w:val="auto"/>
                <w:szCs w:val="21"/>
              </w:rPr>
              <w:t>建材、设备使用年限统计</w:t>
            </w:r>
            <w:r>
              <w:rPr>
                <w:rFonts w:hint="eastAsia" w:ascii="宋体" w:hAnsi="宋体" w:eastAsia="宋体" w:cs="宋体"/>
                <w:color w:val="auto"/>
                <w:szCs w:val="21"/>
                <w:lang w:val="en-US" w:eastAsia="zh-CN"/>
              </w:rPr>
              <w:t>备案</w:t>
            </w:r>
            <w:r>
              <w:rPr>
                <w:rFonts w:hint="eastAsia" w:ascii="宋体" w:hAnsi="宋体" w:eastAsia="宋体" w:cs="宋体"/>
                <w:color w:val="auto"/>
                <w:szCs w:val="21"/>
              </w:rPr>
              <w:t>表</w:t>
            </w:r>
            <w:r>
              <w:rPr>
                <w:rFonts w:hint="eastAsia" w:ascii="宋体" w:hAnsi="宋体" w:eastAsia="宋体" w:cs="宋体"/>
                <w:color w:val="auto"/>
                <w:szCs w:val="21"/>
                <w:lang w:eastAsia="zh-CN"/>
              </w:rPr>
              <w:t>。</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15</w:t>
            </w:r>
          </w:p>
        </w:tc>
        <w:tc>
          <w:tcPr>
            <w:tcW w:w="3234" w:type="dxa"/>
            <w:vAlign w:val="center"/>
          </w:tcPr>
          <w:p>
            <w:pPr>
              <w:jc w:val="left"/>
              <w:rPr>
                <w:rFonts w:ascii="宋体" w:hAnsi="宋体" w:eastAsia="宋体" w:cs="宋体"/>
                <w:color w:val="auto"/>
                <w:szCs w:val="21"/>
              </w:rPr>
            </w:pPr>
            <w:r>
              <w:rPr>
                <w:rFonts w:hint="eastAsia" w:ascii="宋体" w:hAnsi="宋体" w:eastAsia="宋体" w:cs="宋体"/>
                <w:color w:val="auto"/>
                <w:szCs w:val="21"/>
              </w:rPr>
              <w:t>强化设计方案技术论证，严格控制设计变更</w:t>
            </w: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根据项目建造过程中的设计变更量核算得分，</w:t>
            </w:r>
            <w:r>
              <w:rPr>
                <w:rFonts w:hint="eastAsia" w:ascii="宋体" w:hAnsi="宋体" w:eastAsia="宋体" w:cs="宋体"/>
                <w:color w:val="auto"/>
                <w:szCs w:val="21"/>
              </w:rPr>
              <w:t>无设计变更</w:t>
            </w:r>
            <w:r>
              <w:rPr>
                <w:rFonts w:hint="eastAsia" w:ascii="宋体" w:hAnsi="宋体" w:eastAsia="宋体" w:cs="宋体"/>
                <w:color w:val="auto"/>
                <w:szCs w:val="21"/>
                <w:lang w:val="en-US" w:eastAsia="zh-CN"/>
              </w:rPr>
              <w:t>得满分</w:t>
            </w:r>
            <w:r>
              <w:rPr>
                <w:rFonts w:hint="eastAsia" w:ascii="宋体" w:hAnsi="宋体" w:eastAsia="宋体" w:cs="宋体"/>
                <w:color w:val="auto"/>
                <w:szCs w:val="21"/>
              </w:rPr>
              <w:t>。</w:t>
            </w:r>
          </w:p>
        </w:tc>
        <w:tc>
          <w:tcPr>
            <w:tcW w:w="2576"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rPr>
              <w:t>查看</w:t>
            </w:r>
            <w:r>
              <w:rPr>
                <w:rFonts w:hint="eastAsia" w:ascii="宋体" w:hAnsi="宋体" w:eastAsia="宋体" w:cs="宋体"/>
                <w:color w:val="auto"/>
                <w:szCs w:val="21"/>
                <w:lang w:val="en-US" w:eastAsia="zh-CN"/>
              </w:rPr>
              <w:t>设计变更</w:t>
            </w:r>
            <w:r>
              <w:rPr>
                <w:rFonts w:hint="eastAsia" w:ascii="宋体" w:hAnsi="宋体" w:eastAsia="宋体" w:cs="宋体"/>
                <w:color w:val="auto"/>
                <w:szCs w:val="21"/>
              </w:rPr>
              <w:t>文件</w:t>
            </w:r>
            <w:r>
              <w:rPr>
                <w:rFonts w:hint="eastAsia" w:ascii="宋体" w:hAnsi="宋体" w:eastAsia="宋体" w:cs="宋体"/>
                <w:color w:val="auto"/>
                <w:szCs w:val="21"/>
                <w:lang w:eastAsia="zh-CN"/>
              </w:rPr>
              <w:t>。</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15" w:type="dxa"/>
            <w:vAlign w:val="center"/>
          </w:tcPr>
          <w:p>
            <w:pPr>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16</w:t>
            </w:r>
          </w:p>
        </w:tc>
        <w:tc>
          <w:tcPr>
            <w:tcW w:w="3234" w:type="dxa"/>
            <w:vAlign w:val="center"/>
          </w:tcPr>
          <w:p>
            <w:pPr>
              <w:jc w:val="left"/>
              <w:rPr>
                <w:rFonts w:ascii="宋体" w:hAnsi="宋体" w:eastAsia="宋体" w:cs="宋体"/>
                <w:color w:val="auto"/>
                <w:szCs w:val="21"/>
              </w:rPr>
            </w:pPr>
            <w:r>
              <w:rPr>
                <w:rFonts w:hint="eastAsia" w:ascii="宋体" w:hAnsi="宋体" w:eastAsia="宋体" w:cs="宋体"/>
                <w:color w:val="auto"/>
                <w:szCs w:val="21"/>
              </w:rPr>
              <w:t>在设计阶段加强建筑垃圾源头管控，明确建筑垃圾减量化目标和职责分工，提出源头减量、分类管理、就地处置、排放控制的具体措施。</w:t>
            </w:r>
          </w:p>
        </w:tc>
        <w:tc>
          <w:tcPr>
            <w:tcW w:w="2576" w:type="dxa"/>
            <w:vAlign w:val="center"/>
          </w:tcPr>
          <w:p>
            <w:pPr>
              <w:jc w:val="both"/>
              <w:rPr>
                <w:rFonts w:ascii="宋体" w:hAnsi="宋体" w:eastAsia="宋体" w:cs="宋体"/>
                <w:color w:val="auto"/>
                <w:szCs w:val="21"/>
              </w:rPr>
            </w:pPr>
            <w:r>
              <w:rPr>
                <w:rFonts w:hint="eastAsia" w:ascii="宋体" w:hAnsi="宋体" w:eastAsia="宋体" w:cs="宋体"/>
                <w:color w:val="auto"/>
                <w:szCs w:val="21"/>
              </w:rPr>
              <w:t>查看建筑垃圾减量化专项方案，依据《住房和城乡建设部关于推进建筑垃圾减量化的指导意见》（建质〔2020〕46 号）要求编制。</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17</w:t>
            </w:r>
          </w:p>
        </w:tc>
        <w:tc>
          <w:tcPr>
            <w:tcW w:w="3234" w:type="dxa"/>
            <w:vAlign w:val="center"/>
          </w:tcPr>
          <w:p>
            <w:pPr>
              <w:jc w:val="left"/>
              <w:rPr>
                <w:rFonts w:ascii="宋体" w:hAnsi="宋体" w:eastAsia="宋体" w:cs="宋体"/>
                <w:color w:val="auto"/>
                <w:szCs w:val="21"/>
              </w:rPr>
            </w:pPr>
            <w:r>
              <w:rPr>
                <w:rFonts w:hint="eastAsia" w:ascii="宋体" w:hAnsi="宋体" w:eastAsia="宋体" w:cs="宋体"/>
                <w:color w:val="auto"/>
                <w:szCs w:val="21"/>
              </w:rPr>
              <w:t>场地设计应有效利用地域自然条件，尊重城市肌理和地域风貌，实现建筑布局、交通组织、场地环境、场地设施和管网的合理设计。</w:t>
            </w:r>
          </w:p>
        </w:tc>
        <w:tc>
          <w:tcPr>
            <w:tcW w:w="2576"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rPr>
              <w:t>查阅场地原地形图、相关设计文件（带地形的规划设计图、总平面图、竖向设计图、景观设计总平面图）及相关说明</w:t>
            </w:r>
            <w:r>
              <w:rPr>
                <w:rFonts w:hint="eastAsia" w:ascii="宋体" w:hAnsi="宋体" w:eastAsia="宋体" w:cs="宋体"/>
                <w:color w:val="auto"/>
                <w:szCs w:val="21"/>
                <w:lang w:eastAsia="zh-CN"/>
              </w:rPr>
              <w:t>。</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18</w:t>
            </w:r>
          </w:p>
        </w:tc>
        <w:tc>
          <w:tcPr>
            <w:tcW w:w="3234" w:type="dxa"/>
            <w:vAlign w:val="center"/>
          </w:tcPr>
          <w:p>
            <w:pPr>
              <w:jc w:val="left"/>
              <w:rPr>
                <w:rFonts w:ascii="宋体" w:hAnsi="宋体" w:eastAsia="宋体" w:cs="宋体"/>
                <w:color w:val="auto"/>
                <w:szCs w:val="21"/>
              </w:rPr>
            </w:pPr>
            <w:r>
              <w:rPr>
                <w:rFonts w:hint="eastAsia" w:ascii="宋体" w:hAnsi="宋体" w:eastAsia="宋体" w:cs="宋体"/>
                <w:color w:val="auto"/>
                <w:szCs w:val="21"/>
              </w:rPr>
              <w:t>按照“被动式技术优先、主动式技术优化”的原则，优化功能空间布局，充分发掘场地空间、建筑本体与设备在节约资源方面的潜力。</w:t>
            </w:r>
          </w:p>
        </w:tc>
        <w:tc>
          <w:tcPr>
            <w:tcW w:w="2576" w:type="dxa"/>
            <w:vAlign w:val="center"/>
          </w:tcPr>
          <w:p>
            <w:pPr>
              <w:jc w:val="both"/>
              <w:rPr>
                <w:rFonts w:ascii="宋体" w:hAnsi="宋体" w:eastAsia="宋体" w:cs="宋体"/>
                <w:color w:val="auto"/>
                <w:szCs w:val="21"/>
              </w:rPr>
            </w:pPr>
            <w:r>
              <w:rPr>
                <w:rFonts w:hint="eastAsia" w:ascii="宋体" w:hAnsi="宋体" w:eastAsia="宋体" w:cs="宋体"/>
                <w:color w:val="auto"/>
                <w:szCs w:val="21"/>
              </w:rPr>
              <w:t>采用被动式建筑技术及主动式技术优化的设计方案图纸。</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19</w:t>
            </w:r>
          </w:p>
        </w:tc>
        <w:tc>
          <w:tcPr>
            <w:tcW w:w="3234" w:type="dxa"/>
            <w:vAlign w:val="center"/>
          </w:tcPr>
          <w:p>
            <w:pPr>
              <w:jc w:val="left"/>
              <w:rPr>
                <w:rFonts w:ascii="宋体" w:hAnsi="宋体" w:eastAsia="宋体" w:cs="宋体"/>
                <w:color w:val="auto"/>
                <w:szCs w:val="21"/>
              </w:rPr>
            </w:pPr>
            <w:r>
              <w:rPr>
                <w:rFonts w:hint="eastAsia" w:ascii="宋体" w:hAnsi="宋体" w:eastAsia="宋体" w:cs="宋体"/>
                <w:color w:val="auto"/>
                <w:szCs w:val="21"/>
              </w:rPr>
              <w:t>综合考虑安全耐久、节能减排、易于建造等因素，择优选择建筑形体和结构体系。</w:t>
            </w:r>
          </w:p>
        </w:tc>
        <w:tc>
          <w:tcPr>
            <w:tcW w:w="2576"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查看相关设计</w:t>
            </w:r>
            <w:r>
              <w:rPr>
                <w:rFonts w:hint="eastAsia" w:ascii="宋体" w:hAnsi="宋体" w:eastAsia="宋体" w:cs="宋体"/>
                <w:color w:val="auto"/>
                <w:szCs w:val="21"/>
              </w:rPr>
              <w:t>文件</w:t>
            </w:r>
            <w:r>
              <w:rPr>
                <w:rFonts w:hint="eastAsia" w:ascii="宋体" w:hAnsi="宋体" w:eastAsia="宋体" w:cs="宋体"/>
                <w:color w:val="auto"/>
                <w:szCs w:val="21"/>
                <w:lang w:eastAsia="zh-CN"/>
              </w:rPr>
              <w:t>。</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20</w:t>
            </w:r>
          </w:p>
        </w:tc>
        <w:tc>
          <w:tcPr>
            <w:tcW w:w="3234" w:type="dxa"/>
            <w:vAlign w:val="center"/>
          </w:tcPr>
          <w:p>
            <w:pPr>
              <w:jc w:val="left"/>
              <w:rPr>
                <w:rFonts w:ascii="宋体" w:hAnsi="宋体" w:eastAsia="宋体" w:cs="宋体"/>
                <w:color w:val="auto"/>
                <w:szCs w:val="21"/>
              </w:rPr>
            </w:pPr>
            <w:r>
              <w:rPr>
                <w:rFonts w:hint="eastAsia" w:ascii="宋体" w:hAnsi="宋体" w:eastAsia="宋体" w:cs="宋体"/>
                <w:color w:val="auto"/>
                <w:szCs w:val="21"/>
              </w:rPr>
              <w:t>根据建筑规模、用途、能源条件以及国家和地区节能环保政策对冷热源方案进行综合论证，合理利用浅层地能、太阳能、风能等可再生能源以及余热资源。</w:t>
            </w:r>
          </w:p>
        </w:tc>
        <w:tc>
          <w:tcPr>
            <w:tcW w:w="2576" w:type="dxa"/>
            <w:vAlign w:val="center"/>
          </w:tcPr>
          <w:p>
            <w:pPr>
              <w:jc w:val="both"/>
              <w:rPr>
                <w:rFonts w:ascii="宋体" w:hAnsi="宋体" w:eastAsia="宋体" w:cs="宋体"/>
                <w:color w:val="auto"/>
                <w:szCs w:val="21"/>
              </w:rPr>
            </w:pPr>
            <w:r>
              <w:rPr>
                <w:rFonts w:hint="eastAsia" w:ascii="宋体" w:hAnsi="宋体" w:eastAsia="宋体" w:cs="宋体"/>
                <w:color w:val="auto"/>
                <w:szCs w:val="21"/>
              </w:rPr>
              <w:t>查阅相关设计文件、计算分析报告。</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21</w:t>
            </w:r>
          </w:p>
        </w:tc>
        <w:tc>
          <w:tcPr>
            <w:tcW w:w="3234" w:type="dxa"/>
            <w:vAlign w:val="center"/>
          </w:tcPr>
          <w:p>
            <w:pPr>
              <w:jc w:val="left"/>
              <w:rPr>
                <w:rFonts w:ascii="宋体" w:hAnsi="宋体" w:eastAsia="宋体" w:cs="宋体"/>
                <w:color w:val="auto"/>
                <w:szCs w:val="21"/>
              </w:rPr>
            </w:pPr>
            <w:r>
              <w:rPr>
                <w:rFonts w:hint="eastAsia" w:ascii="宋体" w:hAnsi="宋体" w:eastAsia="宋体" w:cs="宋体"/>
                <w:color w:val="auto"/>
                <w:szCs w:val="21"/>
              </w:rPr>
              <w:t>体现海绵城市建设理念，采用“渗、滞、蓄、净、用、排”等措施对施工期间及建筑竣工后的场地雨水进行有效统筹控制，溢流排放应与城市雨水排放系统衔接。</w:t>
            </w:r>
          </w:p>
        </w:tc>
        <w:tc>
          <w:tcPr>
            <w:tcW w:w="2576" w:type="dxa"/>
            <w:vAlign w:val="center"/>
          </w:tcPr>
          <w:p>
            <w:pPr>
              <w:jc w:val="both"/>
              <w:rPr>
                <w:rFonts w:ascii="宋体" w:hAnsi="宋体" w:eastAsia="宋体" w:cs="宋体"/>
                <w:color w:val="auto"/>
                <w:szCs w:val="21"/>
              </w:rPr>
            </w:pPr>
            <w:r>
              <w:rPr>
                <w:rFonts w:hint="eastAsia" w:ascii="宋体" w:hAnsi="宋体" w:eastAsia="宋体" w:cs="宋体"/>
                <w:color w:val="auto"/>
                <w:szCs w:val="21"/>
              </w:rPr>
              <w:t>查看相关文件，初步设计等。按照现行国家标准《海绵城市建设评价标准》GB/T 51345执行。</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15" w:type="dxa"/>
            <w:vAlign w:val="center"/>
          </w:tcPr>
          <w:p>
            <w:pPr>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5"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22</w:t>
            </w:r>
          </w:p>
        </w:tc>
        <w:tc>
          <w:tcPr>
            <w:tcW w:w="3234" w:type="dxa"/>
            <w:vAlign w:val="center"/>
          </w:tcPr>
          <w:p>
            <w:pPr>
              <w:jc w:val="left"/>
              <w:rPr>
                <w:rFonts w:ascii="宋体" w:hAnsi="宋体" w:eastAsia="宋体" w:cs="宋体"/>
                <w:color w:val="auto"/>
                <w:szCs w:val="21"/>
              </w:rPr>
            </w:pPr>
            <w:r>
              <w:rPr>
                <w:rFonts w:hint="eastAsia" w:ascii="宋体" w:hAnsi="宋体" w:eastAsia="宋体" w:cs="宋体"/>
                <w:color w:val="auto"/>
                <w:szCs w:val="21"/>
              </w:rPr>
              <w:t>采用管线分离、一体化装修技术，对建筑围护结构和内外装饰装修构造节点进行精细设计。</w:t>
            </w:r>
          </w:p>
        </w:tc>
        <w:tc>
          <w:tcPr>
            <w:tcW w:w="2576"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rPr>
              <w:t>查阅土建、装修各专业施工图及其他证明材料</w:t>
            </w:r>
            <w:r>
              <w:rPr>
                <w:rFonts w:hint="eastAsia" w:ascii="宋体" w:hAnsi="宋体" w:eastAsia="宋体" w:cs="宋体"/>
                <w:color w:val="auto"/>
                <w:szCs w:val="21"/>
                <w:lang w:eastAsia="zh-CN"/>
              </w:rPr>
              <w:t>。</w:t>
            </w:r>
          </w:p>
        </w:tc>
        <w:tc>
          <w:tcPr>
            <w:tcW w:w="1076"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5" w:type="dxa"/>
            <w:vAlign w:val="center"/>
          </w:tcPr>
          <w:p>
            <w:pPr>
              <w:jc w:val="center"/>
              <w:rPr>
                <w:rFonts w:ascii="宋体" w:hAnsi="宋体" w:eastAsia="宋体" w:cs="宋体"/>
                <w:color w:val="auto"/>
                <w:szCs w:val="21"/>
              </w:rPr>
            </w:pPr>
          </w:p>
        </w:tc>
      </w:tr>
    </w:tbl>
    <w:p>
      <w:pPr>
        <w:adjustRightInd w:val="0"/>
        <w:snapToGrid w:val="0"/>
        <w:spacing w:line="300" w:lineRule="exact"/>
        <w:jc w:val="center"/>
        <w:rPr>
          <w:rFonts w:hint="eastAsia" w:ascii="宋体" w:hAnsi="宋体" w:eastAsia="宋体" w:cs="宋体"/>
          <w:b/>
          <w:color w:val="auto"/>
          <w:spacing w:val="4"/>
          <w:kern w:val="0"/>
          <w:szCs w:val="21"/>
        </w:rPr>
      </w:pPr>
      <w:r>
        <w:rPr>
          <w:rFonts w:hint="eastAsia" w:ascii="宋体" w:hAnsi="宋体" w:eastAsia="宋体" w:cs="宋体"/>
          <w:b/>
          <w:color w:val="auto"/>
          <w:spacing w:val="4"/>
          <w:kern w:val="0"/>
          <w:szCs w:val="21"/>
        </w:rPr>
        <w:br w:type="page"/>
      </w:r>
    </w:p>
    <w:tbl>
      <w:tblPr>
        <w:tblStyle w:val="9"/>
        <w:tblW w:w="839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496"/>
        <w:gridCol w:w="3235"/>
        <w:gridCol w:w="2578"/>
        <w:gridCol w:w="1077"/>
        <w:gridCol w:w="101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6"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23</w:t>
            </w:r>
          </w:p>
        </w:tc>
        <w:tc>
          <w:tcPr>
            <w:tcW w:w="3235" w:type="dxa"/>
            <w:vAlign w:val="center"/>
          </w:tcPr>
          <w:p>
            <w:pPr>
              <w:jc w:val="left"/>
              <w:rPr>
                <w:rFonts w:ascii="宋体" w:hAnsi="宋体" w:eastAsia="宋体" w:cs="宋体"/>
                <w:color w:val="auto"/>
                <w:szCs w:val="21"/>
              </w:rPr>
            </w:pPr>
            <w:r>
              <w:rPr>
                <w:rFonts w:hint="eastAsia" w:ascii="宋体" w:hAnsi="宋体" w:eastAsia="宋体" w:cs="宋体"/>
                <w:color w:val="auto"/>
                <w:szCs w:val="21"/>
              </w:rPr>
              <w:t>1、统一设计过程中BIM组织方式、工作界面、模型细度和样板文件。</w:t>
            </w:r>
          </w:p>
          <w:p>
            <w:pPr>
              <w:jc w:val="left"/>
              <w:rPr>
                <w:rFonts w:ascii="宋体" w:hAnsi="宋体" w:eastAsia="宋体" w:cs="宋体"/>
                <w:color w:val="auto"/>
                <w:szCs w:val="21"/>
              </w:rPr>
            </w:pPr>
            <w:r>
              <w:rPr>
                <w:rFonts w:hint="eastAsia" w:ascii="宋体" w:hAnsi="宋体" w:eastAsia="宋体" w:cs="宋体"/>
                <w:color w:val="auto"/>
                <w:szCs w:val="21"/>
              </w:rPr>
              <w:t>2、在设计过程中积累可重复利用及标准化部品构件，丰富和完善 BIM 构件库资源。</w:t>
            </w:r>
          </w:p>
          <w:p>
            <w:pPr>
              <w:jc w:val="left"/>
              <w:rPr>
                <w:rFonts w:ascii="宋体" w:hAnsi="宋体" w:eastAsia="宋体" w:cs="宋体"/>
                <w:color w:val="auto"/>
                <w:szCs w:val="21"/>
              </w:rPr>
            </w:pPr>
            <w:r>
              <w:rPr>
                <w:rFonts w:hint="eastAsia" w:ascii="宋体" w:hAnsi="宋体" w:eastAsia="宋体" w:cs="宋体"/>
                <w:color w:val="auto"/>
                <w:szCs w:val="21"/>
              </w:rPr>
              <w:t>3、集成应用BIM、地理信息系统（GIS）、三维测量等信息技术及模拟分析软件，进行性能模拟分析、设计优化和阶段成果交付。</w:t>
            </w:r>
          </w:p>
          <w:p>
            <w:pPr>
              <w:jc w:val="left"/>
              <w:rPr>
                <w:rFonts w:ascii="宋体" w:hAnsi="宋体" w:eastAsia="宋体" w:cs="宋体"/>
                <w:color w:val="auto"/>
                <w:szCs w:val="21"/>
              </w:rPr>
            </w:pPr>
            <w:r>
              <w:rPr>
                <w:rFonts w:hint="eastAsia" w:ascii="宋体" w:hAnsi="宋体" w:eastAsia="宋体" w:cs="宋体"/>
                <w:color w:val="auto"/>
                <w:szCs w:val="21"/>
              </w:rPr>
              <w:t>4、采用 BIM 信息平台，支撑 BIM 模型存储与集成、版本控制，保障数据安全。</w:t>
            </w:r>
          </w:p>
          <w:p>
            <w:pPr>
              <w:jc w:val="left"/>
              <w:rPr>
                <w:rFonts w:ascii="宋体" w:hAnsi="宋体" w:eastAsia="宋体" w:cs="宋体"/>
                <w:color w:val="auto"/>
                <w:szCs w:val="21"/>
              </w:rPr>
            </w:pPr>
            <w:r>
              <w:rPr>
                <w:rFonts w:hint="eastAsia" w:ascii="宋体" w:hAnsi="宋体" w:eastAsia="宋体" w:cs="宋体"/>
                <w:color w:val="auto"/>
                <w:szCs w:val="21"/>
              </w:rPr>
              <w:t>5、推进 BIM 与项目、企业管理信息系统的集成应用，推动 BIM 与城市信息模型（CIM）平台以及建筑产业互联网的融通联动。</w:t>
            </w:r>
          </w:p>
          <w:p>
            <w:pPr>
              <w:jc w:val="left"/>
              <w:rPr>
                <w:rFonts w:ascii="宋体" w:hAnsi="宋体" w:eastAsia="宋体" w:cs="宋体"/>
                <w:color w:val="auto"/>
                <w:szCs w:val="21"/>
              </w:rPr>
            </w:pPr>
            <w:r>
              <w:rPr>
                <w:rFonts w:hint="eastAsia" w:ascii="宋体" w:hAnsi="宋体" w:eastAsia="宋体" w:cs="宋体"/>
                <w:color w:val="auto"/>
                <w:szCs w:val="21"/>
              </w:rPr>
              <w:t>（满足一条得2分）</w:t>
            </w:r>
          </w:p>
        </w:tc>
        <w:tc>
          <w:tcPr>
            <w:tcW w:w="2578"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rPr>
              <w:t>查看BIM相关设计的文件图纸、文件、技术应用报告</w:t>
            </w:r>
            <w:r>
              <w:rPr>
                <w:rFonts w:hint="eastAsia" w:ascii="宋体" w:hAnsi="宋体" w:eastAsia="宋体" w:cs="宋体"/>
                <w:color w:val="auto"/>
                <w:szCs w:val="21"/>
                <w:lang w:eastAsia="zh-CN"/>
              </w:rPr>
              <w:t>、</w:t>
            </w:r>
            <w:r>
              <w:rPr>
                <w:rFonts w:hint="eastAsia" w:ascii="宋体" w:hAnsi="宋体" w:eastAsia="宋体" w:cs="宋体"/>
                <w:color w:val="auto"/>
                <w:szCs w:val="21"/>
              </w:rPr>
              <w:t>构件资源库等</w:t>
            </w:r>
            <w:r>
              <w:rPr>
                <w:rFonts w:hint="eastAsia" w:ascii="宋体" w:hAnsi="宋体" w:eastAsia="宋体" w:cs="宋体"/>
                <w:color w:val="auto"/>
                <w:szCs w:val="21"/>
                <w:lang w:eastAsia="zh-CN"/>
              </w:rPr>
              <w:t>。</w:t>
            </w:r>
          </w:p>
        </w:tc>
        <w:tc>
          <w:tcPr>
            <w:tcW w:w="1077"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10</w:t>
            </w:r>
          </w:p>
        </w:tc>
        <w:tc>
          <w:tcPr>
            <w:tcW w:w="1010" w:type="dxa"/>
            <w:vAlign w:val="center"/>
          </w:tcPr>
          <w:p>
            <w:pPr>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496" w:type="dxa"/>
            <w:vAlign w:val="center"/>
          </w:tcPr>
          <w:p>
            <w:pPr>
              <w:adjustRightInd w:val="0"/>
              <w:snapToGrid w:val="0"/>
              <w:spacing w:line="300" w:lineRule="exact"/>
              <w:jc w:val="center"/>
              <w:rPr>
                <w:rFonts w:ascii="宋体" w:hAnsi="宋体" w:eastAsia="宋体" w:cs="宋体"/>
                <w:b/>
                <w:color w:val="auto"/>
                <w:spacing w:val="4"/>
                <w:kern w:val="0"/>
                <w:szCs w:val="21"/>
              </w:rPr>
            </w:pPr>
            <w:r>
              <w:rPr>
                <w:rFonts w:hint="eastAsia" w:ascii="宋体" w:hAnsi="宋体" w:eastAsia="宋体" w:cs="宋体"/>
                <w:b/>
                <w:color w:val="auto"/>
                <w:spacing w:val="4"/>
                <w:kern w:val="0"/>
                <w:szCs w:val="21"/>
              </w:rPr>
              <w:t>24</w:t>
            </w:r>
          </w:p>
        </w:tc>
        <w:tc>
          <w:tcPr>
            <w:tcW w:w="3235" w:type="dxa"/>
            <w:vAlign w:val="center"/>
          </w:tcPr>
          <w:p>
            <w:pPr>
              <w:jc w:val="left"/>
              <w:rPr>
                <w:rFonts w:ascii="宋体" w:hAnsi="宋体" w:eastAsia="宋体" w:cs="宋体"/>
                <w:color w:val="auto"/>
                <w:szCs w:val="21"/>
              </w:rPr>
            </w:pPr>
            <w:r>
              <w:rPr>
                <w:rFonts w:hint="eastAsia" w:ascii="宋体" w:hAnsi="宋体" w:eastAsia="宋体" w:cs="宋体"/>
                <w:color w:val="auto"/>
                <w:szCs w:val="21"/>
              </w:rPr>
              <w:t>采用标准化构件和部件，使用集成化模块化建筑部品；实现部品部件、内外装饰装修、围护结构和机电管线等一体化集成。</w:t>
            </w:r>
          </w:p>
        </w:tc>
        <w:tc>
          <w:tcPr>
            <w:tcW w:w="2578" w:type="dxa"/>
            <w:vAlign w:val="center"/>
          </w:tcPr>
          <w:p>
            <w:pPr>
              <w:jc w:val="both"/>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查阅相关设计文件</w:t>
            </w:r>
            <w:r>
              <w:rPr>
                <w:rFonts w:hint="eastAsia" w:ascii="宋体" w:hAnsi="宋体" w:eastAsia="宋体" w:cs="宋体"/>
                <w:color w:val="auto"/>
                <w:szCs w:val="21"/>
                <w:lang w:eastAsia="zh-CN"/>
              </w:rPr>
              <w:t>。</w:t>
            </w:r>
          </w:p>
        </w:tc>
        <w:tc>
          <w:tcPr>
            <w:tcW w:w="1077"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2</w:t>
            </w:r>
          </w:p>
        </w:tc>
        <w:tc>
          <w:tcPr>
            <w:tcW w:w="1010" w:type="dxa"/>
            <w:vAlign w:val="center"/>
          </w:tcPr>
          <w:p>
            <w:pPr>
              <w:jc w:val="center"/>
              <w:rPr>
                <w:rFonts w:ascii="宋体" w:hAnsi="宋体" w:eastAsia="宋体" w:cs="宋体"/>
                <w:color w:val="auto"/>
                <w:szCs w:val="21"/>
                <w:highlight w:val="yellow"/>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40" w:hRule="atLeast"/>
          <w:jc w:val="center"/>
        </w:trPr>
        <w:tc>
          <w:tcPr>
            <w:tcW w:w="6309" w:type="dxa"/>
            <w:gridSpan w:val="3"/>
            <w:vAlign w:val="center"/>
          </w:tcPr>
          <w:p>
            <w:pPr>
              <w:jc w:val="center"/>
              <w:rPr>
                <w:rFonts w:ascii="宋体" w:hAnsi="宋体" w:eastAsia="宋体" w:cs="宋体"/>
                <w:b/>
                <w:color w:val="auto"/>
                <w:szCs w:val="21"/>
              </w:rPr>
            </w:pPr>
            <w:r>
              <w:rPr>
                <w:rFonts w:hint="eastAsia" w:ascii="宋体" w:hAnsi="宋体" w:eastAsia="宋体" w:cs="宋体"/>
                <w:b/>
                <w:color w:val="auto"/>
                <w:szCs w:val="21"/>
              </w:rPr>
              <w:t>合  计</w:t>
            </w:r>
          </w:p>
        </w:tc>
        <w:tc>
          <w:tcPr>
            <w:tcW w:w="1077"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w:t>
            </w:r>
          </w:p>
        </w:tc>
        <w:tc>
          <w:tcPr>
            <w:tcW w:w="1010" w:type="dxa"/>
            <w:vAlign w:val="center"/>
          </w:tcPr>
          <w:p>
            <w:pPr>
              <w:jc w:val="center"/>
              <w:rPr>
                <w:rFonts w:ascii="宋体" w:hAnsi="宋体" w:eastAsia="宋体" w:cs="宋体"/>
                <w:color w:val="auto"/>
                <w:szCs w:val="21"/>
                <w:highlight w:val="yellow"/>
              </w:rPr>
            </w:pPr>
          </w:p>
        </w:tc>
      </w:tr>
    </w:tbl>
    <w:p>
      <w:pPr>
        <w:rPr>
          <w:rFonts w:ascii="宋体" w:hAnsi="宋体" w:cs="宋体"/>
          <w:color w:val="auto"/>
          <w:kern w:val="0"/>
          <w:sz w:val="24"/>
        </w:rPr>
      </w:pPr>
      <w:r>
        <w:rPr>
          <w:rFonts w:hint="eastAsia" w:ascii="宋体" w:hAnsi="宋体" w:cs="宋体"/>
          <w:color w:val="auto"/>
          <w:kern w:val="0"/>
          <w:sz w:val="24"/>
        </w:rPr>
        <w:br w:type="page"/>
      </w:r>
    </w:p>
    <w:p>
      <w:pPr>
        <w:spacing w:before="240" w:line="358" w:lineRule="auto"/>
        <w:ind w:right="91"/>
        <w:rPr>
          <w:rFonts w:ascii="黑体" w:hAnsi="黑体" w:eastAsia="黑体" w:cs="黑体"/>
          <w:b/>
          <w:color w:val="auto"/>
          <w:kern w:val="0"/>
          <w:sz w:val="28"/>
          <w:szCs w:val="28"/>
        </w:rPr>
      </w:pPr>
      <w:r>
        <w:rPr>
          <w:rFonts w:hint="eastAsia" w:ascii="黑体" w:hAnsi="黑体" w:eastAsia="黑体" w:cs="黑体"/>
          <w:b/>
          <w:color w:val="auto"/>
          <w:kern w:val="0"/>
          <w:sz w:val="28"/>
          <w:szCs w:val="28"/>
        </w:rPr>
        <w:t>附件4</w:t>
      </w:r>
    </w:p>
    <w:p>
      <w:pPr>
        <w:spacing w:line="360" w:lineRule="auto"/>
        <w:jc w:val="center"/>
        <w:rPr>
          <w:rFonts w:ascii="宋体" w:hAnsi="宋体" w:eastAsia="宋体" w:cs="Times New Roman"/>
          <w:b/>
          <w:color w:val="auto"/>
          <w:kern w:val="0"/>
          <w:sz w:val="32"/>
          <w:szCs w:val="32"/>
        </w:rPr>
      </w:pPr>
      <w:r>
        <w:rPr>
          <w:rFonts w:hint="eastAsia" w:ascii="宋体" w:hAnsi="宋体" w:eastAsia="宋体" w:cs="Times New Roman"/>
          <w:b/>
          <w:color w:val="auto"/>
          <w:kern w:val="0"/>
          <w:sz w:val="32"/>
          <w:szCs w:val="32"/>
        </w:rPr>
        <w:t>绿色施工评分表</w:t>
      </w:r>
    </w:p>
    <w:tbl>
      <w:tblPr>
        <w:tblStyle w:val="9"/>
        <w:tblW w:w="852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46"/>
        <w:gridCol w:w="3509"/>
        <w:gridCol w:w="2432"/>
        <w:gridCol w:w="869"/>
        <w:gridCol w:w="106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bCs/>
                <w:color w:val="auto"/>
                <w:kern w:val="0"/>
                <w:szCs w:val="21"/>
                <w:lang w:eastAsia="en-US"/>
              </w:rPr>
            </w:pPr>
            <w:r>
              <w:rPr>
                <w:rFonts w:hint="eastAsia" w:ascii="宋体" w:hAnsi="宋体" w:eastAsia="宋体" w:cs="宋体"/>
                <w:b/>
                <w:bCs/>
                <w:color w:val="auto"/>
                <w:kern w:val="0"/>
                <w:szCs w:val="21"/>
                <w:lang w:eastAsia="en-US"/>
              </w:rPr>
              <w:t>序号</w:t>
            </w:r>
          </w:p>
        </w:tc>
        <w:tc>
          <w:tcPr>
            <w:tcW w:w="3509" w:type="dxa"/>
            <w:vAlign w:val="center"/>
          </w:tcPr>
          <w:p>
            <w:pPr>
              <w:adjustRightInd w:val="0"/>
              <w:snapToGrid w:val="0"/>
              <w:spacing w:line="300" w:lineRule="exact"/>
              <w:jc w:val="center"/>
              <w:rPr>
                <w:rFonts w:ascii="宋体" w:hAnsi="宋体" w:eastAsia="宋体" w:cs="宋体"/>
                <w:b/>
                <w:bCs/>
                <w:color w:val="auto"/>
                <w:kern w:val="0"/>
                <w:szCs w:val="21"/>
                <w:lang w:eastAsia="en-US"/>
              </w:rPr>
            </w:pPr>
            <w:r>
              <w:rPr>
                <w:rFonts w:hint="eastAsia" w:ascii="宋体" w:hAnsi="宋体" w:eastAsia="宋体" w:cs="宋体"/>
                <w:b/>
                <w:bCs/>
                <w:color w:val="auto"/>
                <w:kern w:val="0"/>
                <w:szCs w:val="21"/>
                <w:lang w:eastAsia="en-US"/>
              </w:rPr>
              <w:t>评价内容</w:t>
            </w:r>
          </w:p>
        </w:tc>
        <w:tc>
          <w:tcPr>
            <w:tcW w:w="2432" w:type="dxa"/>
            <w:vAlign w:val="center"/>
          </w:tcPr>
          <w:p>
            <w:pPr>
              <w:adjustRightInd w:val="0"/>
              <w:snapToGrid w:val="0"/>
              <w:spacing w:line="300" w:lineRule="exact"/>
              <w:jc w:val="center"/>
              <w:rPr>
                <w:rFonts w:ascii="宋体" w:hAnsi="宋体" w:eastAsia="宋体" w:cs="宋体"/>
                <w:b/>
                <w:bCs/>
                <w:color w:val="auto"/>
                <w:kern w:val="0"/>
                <w:szCs w:val="21"/>
                <w:lang w:eastAsia="en-US"/>
              </w:rPr>
            </w:pPr>
            <w:r>
              <w:rPr>
                <w:rFonts w:hint="eastAsia" w:ascii="宋体" w:hAnsi="宋体" w:eastAsia="宋体" w:cs="宋体"/>
                <w:b/>
                <w:bCs/>
                <w:color w:val="auto"/>
                <w:kern w:val="0"/>
                <w:szCs w:val="21"/>
                <w:lang w:eastAsia="en-US"/>
              </w:rPr>
              <w:t>评价方法</w:t>
            </w:r>
          </w:p>
        </w:tc>
        <w:tc>
          <w:tcPr>
            <w:tcW w:w="869" w:type="dxa"/>
            <w:vAlign w:val="center"/>
          </w:tcPr>
          <w:p>
            <w:pPr>
              <w:adjustRightInd w:val="0"/>
              <w:snapToGrid w:val="0"/>
              <w:spacing w:line="300" w:lineRule="exact"/>
              <w:jc w:val="center"/>
              <w:rPr>
                <w:rFonts w:hint="eastAsia" w:ascii="宋体" w:hAnsi="宋体" w:eastAsia="宋体" w:cs="宋体"/>
                <w:b/>
                <w:bCs/>
                <w:color w:val="auto"/>
                <w:kern w:val="0"/>
                <w:szCs w:val="21"/>
                <w:lang w:val="en-US" w:eastAsia="zh-CN"/>
              </w:rPr>
            </w:pPr>
            <w:r>
              <w:rPr>
                <w:rFonts w:hint="eastAsia" w:ascii="宋体" w:hAnsi="宋体" w:eastAsia="宋体" w:cs="宋体"/>
                <w:b/>
                <w:bCs/>
                <w:color w:val="auto"/>
                <w:kern w:val="0"/>
                <w:szCs w:val="21"/>
              </w:rPr>
              <w:t>分</w:t>
            </w:r>
            <w:r>
              <w:rPr>
                <w:rFonts w:hint="eastAsia" w:ascii="宋体" w:hAnsi="宋体" w:eastAsia="宋体" w:cs="宋体"/>
                <w:b/>
                <w:bCs/>
                <w:color w:val="auto"/>
                <w:kern w:val="0"/>
                <w:szCs w:val="21"/>
                <w:lang w:val="en-US" w:eastAsia="zh-CN"/>
              </w:rPr>
              <w:t>值</w:t>
            </w:r>
          </w:p>
        </w:tc>
        <w:tc>
          <w:tcPr>
            <w:tcW w:w="1066" w:type="dxa"/>
            <w:vAlign w:val="center"/>
          </w:tcPr>
          <w:p>
            <w:pPr>
              <w:adjustRightInd w:val="0"/>
              <w:snapToGrid w:val="0"/>
              <w:spacing w:line="300" w:lineRule="exact"/>
              <w:jc w:val="center"/>
              <w:rPr>
                <w:rFonts w:ascii="宋体" w:hAnsi="宋体" w:eastAsia="宋体" w:cs="宋体"/>
                <w:b/>
                <w:bCs/>
                <w:color w:val="auto"/>
                <w:kern w:val="0"/>
                <w:szCs w:val="21"/>
                <w:lang w:eastAsia="en-US"/>
              </w:rPr>
            </w:pPr>
            <w:r>
              <w:rPr>
                <w:rFonts w:hint="eastAsia" w:ascii="Times New Roman" w:hAnsi="Times New Roman"/>
                <w:b/>
                <w:color w:val="auto"/>
                <w:kern w:val="0"/>
                <w:szCs w:val="21"/>
              </w:rPr>
              <w:t>得</w:t>
            </w:r>
            <w:r>
              <w:rPr>
                <w:rFonts w:ascii="Times New Roman" w:hAnsi="Times New Roman"/>
                <w:b/>
                <w:color w:val="auto"/>
                <w:kern w:val="0"/>
                <w:szCs w:val="21"/>
                <w:lang w:eastAsia="en-US"/>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22" w:type="dxa"/>
            <w:gridSpan w:val="5"/>
            <w:shd w:val="clear" w:color="auto" w:fill="F1F1F1" w:themeFill="background1" w:themeFillShade="F2"/>
            <w:vAlign w:val="center"/>
          </w:tcPr>
          <w:p>
            <w:pPr>
              <w:adjustRightInd w:val="0"/>
              <w:snapToGrid w:val="0"/>
              <w:spacing w:line="300" w:lineRule="exact"/>
              <w:jc w:val="center"/>
              <w:rPr>
                <w:rFonts w:ascii="宋体" w:hAnsi="宋体" w:eastAsia="宋体" w:cs="宋体"/>
                <w:b/>
                <w:bCs/>
                <w:color w:val="auto"/>
                <w:kern w:val="0"/>
                <w:szCs w:val="21"/>
                <w:lang w:eastAsia="en-US"/>
              </w:rPr>
            </w:pPr>
            <w:r>
              <w:rPr>
                <w:rFonts w:hint="eastAsia" w:ascii="宋体" w:hAnsi="宋体" w:eastAsia="宋体" w:cs="宋体"/>
                <w:b/>
                <w:bCs/>
                <w:color w:val="auto"/>
                <w:kern w:val="0"/>
                <w:szCs w:val="21"/>
                <w:lang w:eastAsia="en-US"/>
              </w:rPr>
              <w:t>控制项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1</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根据绿色施工策划编制绿色施工组织设计、绿色施工方案，并符合《建筑工程绿色施工规范》GB/T50905要求。</w:t>
            </w:r>
          </w:p>
        </w:tc>
        <w:tc>
          <w:tcPr>
            <w:tcW w:w="2432"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查看绿色施工组织设计、绿色施工方案。</w:t>
            </w:r>
          </w:p>
        </w:tc>
        <w:tc>
          <w:tcPr>
            <w:tcW w:w="869"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达标</w:t>
            </w:r>
          </w:p>
        </w:tc>
        <w:tc>
          <w:tcPr>
            <w:tcW w:w="1066"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  标</w:t>
            </w:r>
          </w:p>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2</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达到《建筑工程绿色施工评价标准》GB/T50640合格等级。</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查看绿色施工评价文件，及现场实施效果</w:t>
            </w:r>
            <w:r>
              <w:rPr>
                <w:rFonts w:hint="eastAsia" w:ascii="宋体" w:hAnsi="宋体" w:eastAsia="宋体" w:cs="宋体"/>
                <w:color w:val="auto"/>
                <w:szCs w:val="21"/>
                <w:lang w:eastAsia="zh-CN"/>
              </w:rPr>
              <w:t>。</w:t>
            </w:r>
          </w:p>
        </w:tc>
        <w:tc>
          <w:tcPr>
            <w:tcW w:w="869"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达标</w:t>
            </w:r>
          </w:p>
        </w:tc>
        <w:tc>
          <w:tcPr>
            <w:tcW w:w="1066"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  标</w:t>
            </w:r>
          </w:p>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3</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建立与设计、生产、运营维护联动的协同管理机制。</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查看施工与设计、生产、运营协同管理文件</w:t>
            </w:r>
            <w:r>
              <w:rPr>
                <w:rFonts w:hint="eastAsia" w:ascii="宋体" w:hAnsi="宋体" w:eastAsia="宋体" w:cs="宋体"/>
                <w:color w:val="auto"/>
                <w:szCs w:val="21"/>
                <w:lang w:eastAsia="zh-CN"/>
              </w:rPr>
              <w:t>。</w:t>
            </w:r>
          </w:p>
        </w:tc>
        <w:tc>
          <w:tcPr>
            <w:tcW w:w="869"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达标</w:t>
            </w:r>
          </w:p>
        </w:tc>
        <w:tc>
          <w:tcPr>
            <w:tcW w:w="1066"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  标</w:t>
            </w:r>
          </w:p>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4</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生产单位应采用环保生产工艺和设备设施，并应严格执行质量管理体系、环境管理体系和职业健康安全管理体系。</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查看相关文件</w:t>
            </w:r>
            <w:r>
              <w:rPr>
                <w:rFonts w:hint="eastAsia" w:ascii="宋体" w:hAnsi="宋体" w:eastAsia="宋体" w:cs="宋体"/>
                <w:color w:val="auto"/>
                <w:szCs w:val="21"/>
                <w:lang w:eastAsia="zh-CN"/>
              </w:rPr>
              <w:t>。</w:t>
            </w:r>
          </w:p>
        </w:tc>
        <w:tc>
          <w:tcPr>
            <w:tcW w:w="869"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达标</w:t>
            </w:r>
          </w:p>
        </w:tc>
        <w:tc>
          <w:tcPr>
            <w:tcW w:w="1066"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  标</w:t>
            </w:r>
          </w:p>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5</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生产、施工单位应制定消防疏散、卫生防疫、职业健康安全等管理制度和突发事件应急措施，保障人员身心健康。</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查看相关文件</w:t>
            </w:r>
            <w:r>
              <w:rPr>
                <w:rFonts w:hint="eastAsia" w:ascii="宋体" w:hAnsi="宋体" w:eastAsia="宋体" w:cs="宋体"/>
                <w:color w:val="auto"/>
                <w:szCs w:val="21"/>
                <w:lang w:eastAsia="zh-CN"/>
              </w:rPr>
              <w:t>。</w:t>
            </w:r>
          </w:p>
        </w:tc>
        <w:tc>
          <w:tcPr>
            <w:tcW w:w="869"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达标</w:t>
            </w:r>
          </w:p>
        </w:tc>
        <w:tc>
          <w:tcPr>
            <w:tcW w:w="1066"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  标</w:t>
            </w:r>
          </w:p>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6</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进行三级及以上技术交底，明确绿色设计重点内容、绿色建材产品使用要求。</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查看技术</w:t>
            </w:r>
            <w:r>
              <w:rPr>
                <w:rFonts w:hint="eastAsia" w:ascii="宋体" w:hAnsi="宋体" w:eastAsia="宋体" w:cs="宋体"/>
                <w:color w:val="auto"/>
                <w:szCs w:val="21"/>
              </w:rPr>
              <w:t>交底</w:t>
            </w:r>
            <w:r>
              <w:rPr>
                <w:rFonts w:hint="eastAsia" w:ascii="宋体" w:hAnsi="宋体" w:eastAsia="宋体" w:cs="宋体"/>
                <w:color w:val="auto"/>
                <w:szCs w:val="21"/>
                <w:lang w:val="en-US" w:eastAsia="zh-CN"/>
              </w:rPr>
              <w:t>文件</w:t>
            </w:r>
            <w:r>
              <w:rPr>
                <w:rFonts w:hint="eastAsia" w:ascii="宋体" w:hAnsi="宋体" w:eastAsia="宋体" w:cs="宋体"/>
                <w:color w:val="auto"/>
                <w:szCs w:val="21"/>
                <w:lang w:eastAsia="zh-CN"/>
              </w:rPr>
              <w:t>。</w:t>
            </w:r>
          </w:p>
        </w:tc>
        <w:tc>
          <w:tcPr>
            <w:tcW w:w="869"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达标</w:t>
            </w:r>
          </w:p>
        </w:tc>
        <w:tc>
          <w:tcPr>
            <w:tcW w:w="1066"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  标</w:t>
            </w:r>
          </w:p>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7</w:t>
            </w:r>
          </w:p>
        </w:tc>
        <w:tc>
          <w:tcPr>
            <w:tcW w:w="3509" w:type="dxa"/>
            <w:vAlign w:val="center"/>
          </w:tcPr>
          <w:p>
            <w:pPr>
              <w:adjustRightInd w:val="0"/>
              <w:snapToGrid w:val="0"/>
              <w:spacing w:line="300" w:lineRule="exact"/>
              <w:jc w:val="left"/>
              <w:rPr>
                <w:rFonts w:hint="eastAsia" w:ascii="宋体" w:hAnsi="宋体" w:eastAsia="宋体" w:cs="宋体"/>
                <w:color w:val="auto"/>
                <w:szCs w:val="21"/>
              </w:rPr>
            </w:pPr>
            <w:r>
              <w:rPr>
                <w:rFonts w:hint="eastAsia"/>
                <w:color w:val="auto"/>
                <w:lang w:val="en-US" w:eastAsia="zh-CN"/>
              </w:rPr>
              <w:t>采用</w:t>
            </w:r>
            <w:r>
              <w:rPr>
                <w:rFonts w:hint="eastAsia"/>
                <w:color w:val="auto"/>
              </w:rPr>
              <w:t>信息化手段监测并分析施工现场扬尘、噪声、光、污水、有害气体、固体废弃物等各类污染物</w:t>
            </w:r>
            <w:r>
              <w:rPr>
                <w:rFonts w:hint="eastAsia"/>
                <w:color w:val="auto"/>
                <w:lang w:eastAsia="zh-CN"/>
              </w:rPr>
              <w:t>。</w:t>
            </w:r>
          </w:p>
          <w:p>
            <w:pPr>
              <w:pStyle w:val="2"/>
              <w:rPr>
                <w:rFonts w:hint="eastAsia" w:ascii="宋体" w:hAnsi="宋体" w:eastAsia="宋体" w:cs="宋体"/>
                <w:color w:val="auto"/>
                <w:szCs w:val="21"/>
              </w:rPr>
            </w:pPr>
          </w:p>
        </w:tc>
        <w:tc>
          <w:tcPr>
            <w:tcW w:w="2432" w:type="dxa"/>
            <w:vAlign w:val="center"/>
          </w:tcPr>
          <w:p>
            <w:pPr>
              <w:pStyle w:val="2"/>
              <w:numPr>
                <w:ilvl w:val="0"/>
                <w:numId w:val="2"/>
              </w:numP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查看相关标准规范及当地有关部门对施工现场扬尘、噪声、光、污水、有害气体、固体废弃物等各类污染物指标的规定；</w:t>
            </w:r>
          </w:p>
          <w:p>
            <w:pPr>
              <w:pStyle w:val="2"/>
              <w:numPr>
                <w:ilvl w:val="0"/>
                <w:numId w:val="2"/>
              </w:numP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查看现场各类环境指标监测数据及回收处理记录；</w:t>
            </w:r>
          </w:p>
          <w:p>
            <w:pPr>
              <w:pStyle w:val="2"/>
              <w:numPr>
                <w:ilvl w:val="0"/>
                <w:numId w:val="2"/>
              </w:numPr>
              <w:rPr>
                <w:rFonts w:ascii="宋体" w:hAnsi="宋体" w:eastAsia="宋体" w:cs="宋体"/>
                <w:color w:val="auto"/>
                <w:kern w:val="2"/>
                <w:sz w:val="21"/>
                <w:szCs w:val="21"/>
              </w:rPr>
            </w:pPr>
            <w:r>
              <w:rPr>
                <w:rFonts w:hint="eastAsia" w:ascii="宋体" w:hAnsi="宋体" w:eastAsia="宋体" w:cs="宋体"/>
                <w:color w:val="auto"/>
                <w:kern w:val="2"/>
                <w:sz w:val="21"/>
                <w:szCs w:val="21"/>
                <w:lang w:val="en-US" w:eastAsia="zh-CN" w:bidi="ar-SA"/>
              </w:rPr>
              <w:t>查看现场监测设备的运行状况。</w:t>
            </w:r>
          </w:p>
        </w:tc>
        <w:tc>
          <w:tcPr>
            <w:tcW w:w="869"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达标</w:t>
            </w:r>
          </w:p>
        </w:tc>
        <w:tc>
          <w:tcPr>
            <w:tcW w:w="1066"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  标</w:t>
            </w:r>
          </w:p>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8</w:t>
            </w:r>
          </w:p>
        </w:tc>
        <w:tc>
          <w:tcPr>
            <w:tcW w:w="3509" w:type="dxa"/>
            <w:vAlign w:val="center"/>
          </w:tcPr>
          <w:p>
            <w:pPr>
              <w:adjustRightInd w:val="0"/>
              <w:snapToGrid w:val="0"/>
              <w:spacing w:line="300" w:lineRule="exact"/>
              <w:jc w:val="left"/>
              <w:rPr>
                <w:color w:val="auto"/>
              </w:rPr>
            </w:pPr>
            <w:r>
              <w:rPr>
                <w:rFonts w:hint="eastAsia"/>
                <w:color w:val="auto"/>
              </w:rPr>
              <w:t>编制施工现场建筑垃圾减量化专项方案，实现建筑垃圾源头减量、过程控制。</w:t>
            </w:r>
            <w:r>
              <w:rPr>
                <w:rFonts w:hint="eastAsia" w:asciiTheme="minorHAnsi" w:hAnsiTheme="minorHAnsi" w:eastAsiaTheme="minorEastAsia" w:cstheme="minorBidi"/>
                <w:color w:val="auto"/>
                <w:kern w:val="2"/>
                <w:sz w:val="21"/>
                <w:szCs w:val="24"/>
                <w:lang w:val="en-US" w:eastAsia="zh-CN" w:bidi="ar-SA"/>
              </w:rPr>
              <w:t>采取措施减少固体废弃物产生，建筑垃圾产生量应控制在现浇钢筋混凝土结构每万平方米不大于300吨，装配式建筑每万平方米不大于 200 吨（不包括工程渣土、工程泥浆）。</w:t>
            </w:r>
          </w:p>
        </w:tc>
        <w:tc>
          <w:tcPr>
            <w:tcW w:w="2432"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查看建筑垃圾减量化专项方案，及现场实施效果。</w:t>
            </w:r>
          </w:p>
          <w:p>
            <w:pPr>
              <w:adjustRightInd w:val="0"/>
              <w:snapToGrid w:val="0"/>
              <w:spacing w:line="300" w:lineRule="exact"/>
              <w:jc w:val="left"/>
              <w:rPr>
                <w:rFonts w:ascii="宋体" w:hAnsi="宋体" w:eastAsia="宋体" w:cs="宋体"/>
                <w:color w:val="auto"/>
                <w:szCs w:val="21"/>
              </w:rPr>
            </w:pPr>
          </w:p>
        </w:tc>
        <w:tc>
          <w:tcPr>
            <w:tcW w:w="869"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达标</w:t>
            </w:r>
          </w:p>
        </w:tc>
        <w:tc>
          <w:tcPr>
            <w:tcW w:w="1066" w:type="dxa"/>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□达  标</w:t>
            </w:r>
          </w:p>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color w:val="auto"/>
                <w:szCs w:val="21"/>
              </w:rPr>
              <w:t>□不达标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522" w:type="dxa"/>
            <w:gridSpan w:val="5"/>
            <w:shd w:val="clear" w:color="auto" w:fill="F1F1F1" w:themeFill="background1" w:themeFillShade="F2"/>
            <w:vAlign w:val="center"/>
          </w:tcPr>
          <w:p>
            <w:pPr>
              <w:adjustRightInd w:val="0"/>
              <w:snapToGrid w:val="0"/>
              <w:spacing w:line="300" w:lineRule="exact"/>
              <w:jc w:val="center"/>
              <w:rPr>
                <w:rFonts w:ascii="宋体" w:hAnsi="宋体" w:eastAsia="宋体" w:cs="宋体"/>
                <w:color w:val="auto"/>
                <w:szCs w:val="21"/>
              </w:rPr>
            </w:pPr>
            <w:r>
              <w:rPr>
                <w:rFonts w:hint="eastAsia" w:ascii="宋体" w:hAnsi="宋体" w:eastAsia="宋体" w:cs="宋体"/>
                <w:b/>
                <w:bCs/>
                <w:color w:val="auto"/>
                <w:kern w:val="0"/>
                <w:szCs w:val="21"/>
                <w:lang w:eastAsia="en-US"/>
              </w:rPr>
              <w:t>一般项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9</w:t>
            </w:r>
          </w:p>
        </w:tc>
        <w:tc>
          <w:tcPr>
            <w:tcW w:w="3509"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达到《建筑工程绿色施工评价标准》GB/T50640优良等级。良</w:t>
            </w:r>
            <w:r>
              <w:rPr>
                <w:rFonts w:hint="eastAsia" w:ascii="宋体" w:hAnsi="宋体" w:eastAsia="宋体" w:cs="宋体"/>
                <w:color w:val="auto"/>
                <w:szCs w:val="21"/>
                <w:lang w:val="en-US" w:eastAsia="zh-CN"/>
              </w:rPr>
              <w:t>得</w:t>
            </w:r>
            <w:r>
              <w:rPr>
                <w:rFonts w:hint="eastAsia" w:ascii="宋体" w:hAnsi="宋体" w:eastAsia="宋体" w:cs="宋体"/>
                <w:color w:val="auto"/>
                <w:szCs w:val="21"/>
              </w:rPr>
              <w:t>35分</w:t>
            </w:r>
            <w:r>
              <w:rPr>
                <w:rFonts w:hint="eastAsia" w:ascii="宋体" w:hAnsi="宋体" w:eastAsia="宋体" w:cs="宋体"/>
                <w:color w:val="auto"/>
                <w:szCs w:val="21"/>
                <w:lang w:eastAsia="zh-CN"/>
              </w:rPr>
              <w:t>，</w:t>
            </w:r>
            <w:r>
              <w:rPr>
                <w:rFonts w:hint="eastAsia" w:ascii="宋体" w:hAnsi="宋体" w:eastAsia="宋体" w:cs="宋体"/>
                <w:color w:val="auto"/>
                <w:szCs w:val="21"/>
              </w:rPr>
              <w:t>优</w:t>
            </w:r>
            <w:r>
              <w:rPr>
                <w:rFonts w:hint="eastAsia" w:ascii="宋体" w:hAnsi="宋体" w:eastAsia="宋体" w:cs="宋体"/>
                <w:color w:val="auto"/>
                <w:szCs w:val="21"/>
                <w:lang w:val="en-US" w:eastAsia="zh-CN"/>
              </w:rPr>
              <w:t>得</w:t>
            </w:r>
            <w:r>
              <w:rPr>
                <w:rFonts w:hint="eastAsia" w:ascii="宋体" w:hAnsi="宋体" w:eastAsia="宋体" w:cs="宋体"/>
                <w:color w:val="auto"/>
                <w:szCs w:val="21"/>
              </w:rPr>
              <w:t>40分</w:t>
            </w:r>
            <w:r>
              <w:rPr>
                <w:rFonts w:hint="eastAsia" w:ascii="宋体" w:hAnsi="宋体" w:eastAsia="宋体" w:cs="宋体"/>
                <w:color w:val="auto"/>
                <w:szCs w:val="21"/>
                <w:lang w:eastAsia="zh-CN"/>
              </w:rPr>
              <w:t>。</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查看绿色施工评价文件，及现场实施效果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35、</w:t>
            </w:r>
            <w:r>
              <w:rPr>
                <w:rFonts w:hint="default" w:ascii="Times New Roman" w:hAnsi="Times New Roman" w:eastAsia="宋体" w:cs="Times New Roman"/>
                <w:color w:val="auto"/>
                <w:szCs w:val="21"/>
              </w:rPr>
              <w:t>40</w:t>
            </w:r>
          </w:p>
        </w:tc>
        <w:tc>
          <w:tcPr>
            <w:tcW w:w="1066" w:type="dxa"/>
            <w:vAlign w:val="center"/>
          </w:tcPr>
          <w:p>
            <w:pPr>
              <w:adjustRightInd w:val="0"/>
              <w:snapToGrid w:val="0"/>
              <w:spacing w:line="30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10</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根据《河北省智慧工地示范工程评价管理办法（试行）》（冀建协字[2020]12号）评定为智慧工地示范工程的项目，一星级得8分、二星级得10分、三星级得12分</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查看智慧工地评价文件，及现场实施效果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8、10、</w:t>
            </w:r>
            <w:r>
              <w:rPr>
                <w:rFonts w:hint="default" w:ascii="Times New Roman" w:hAnsi="Times New Roman" w:eastAsia="宋体" w:cs="Times New Roman"/>
                <w:color w:val="auto"/>
                <w:szCs w:val="21"/>
              </w:rPr>
              <w:t>12</w:t>
            </w:r>
          </w:p>
        </w:tc>
        <w:tc>
          <w:tcPr>
            <w:tcW w:w="1066" w:type="dxa"/>
            <w:vAlign w:val="center"/>
          </w:tcPr>
          <w:p>
            <w:pPr>
              <w:adjustRightInd w:val="0"/>
              <w:snapToGrid w:val="0"/>
              <w:spacing w:line="30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11</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采用“建筑业10项新技术”，采用1项得3分、2项及以上6分</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查看相关文件，及现场实施效果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6</w:t>
            </w:r>
          </w:p>
        </w:tc>
        <w:tc>
          <w:tcPr>
            <w:tcW w:w="1066" w:type="dxa"/>
            <w:vAlign w:val="center"/>
          </w:tcPr>
          <w:p>
            <w:pPr>
              <w:adjustRightInd w:val="0"/>
              <w:snapToGrid w:val="0"/>
              <w:spacing w:line="30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12</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在项目前期进行设计与施工协同，根据工程实际情况及施工能力优化设计方案，提高施工机械化、工业化、信息化水平。加强施工人员与设计人员紧密沟通，开展效益优化。</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查看优化设计文件，及现场实施效果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adjustRightInd w:val="0"/>
              <w:snapToGrid w:val="0"/>
              <w:spacing w:line="30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13</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设计单位结合加工、运输、安装方案和施工工艺要求，对工程重点、难点部位和复杂节点等进行深化设计。</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查看深化设计文件，及现场实施效果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adjustRightInd w:val="0"/>
              <w:snapToGrid w:val="0"/>
              <w:spacing w:line="30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hint="eastAsia" w:ascii="宋体" w:hAnsi="宋体" w:eastAsia="宋体" w:cs="宋体"/>
                <w:b/>
                <w:color w:val="auto"/>
                <w:szCs w:val="21"/>
                <w:lang w:val="en-US" w:eastAsia="zh-CN"/>
              </w:rPr>
            </w:pPr>
            <w:r>
              <w:rPr>
                <w:rFonts w:hint="eastAsia" w:ascii="宋体" w:hAnsi="宋体" w:eastAsia="宋体" w:cs="宋体"/>
                <w:b/>
                <w:color w:val="auto"/>
                <w:szCs w:val="21"/>
              </w:rPr>
              <w:t>1</w:t>
            </w:r>
            <w:r>
              <w:rPr>
                <w:rFonts w:hint="eastAsia" w:ascii="宋体" w:hAnsi="宋体" w:eastAsia="宋体" w:cs="宋体"/>
                <w:b/>
                <w:color w:val="auto"/>
                <w:szCs w:val="21"/>
                <w:lang w:val="en-US" w:eastAsia="zh-CN"/>
              </w:rPr>
              <w:t>4</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设计单位参与部品部件生产、运输、堆放等实施方案编制，并与现场施工进行有效协同与联动。</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查看部品部件生产、运输、堆放等实施方案，及现场实施效果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adjustRightInd w:val="0"/>
              <w:snapToGrid w:val="0"/>
              <w:spacing w:line="30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hint="eastAsia" w:ascii="宋体" w:hAnsi="宋体" w:eastAsia="宋体" w:cs="宋体"/>
                <w:b/>
                <w:color w:val="auto"/>
                <w:szCs w:val="21"/>
                <w:lang w:eastAsia="zh-CN"/>
              </w:rPr>
            </w:pPr>
            <w:r>
              <w:rPr>
                <w:rFonts w:hint="eastAsia" w:ascii="宋体" w:hAnsi="宋体" w:eastAsia="宋体" w:cs="宋体"/>
                <w:b/>
                <w:color w:val="auto"/>
                <w:szCs w:val="21"/>
              </w:rPr>
              <w:t>1</w:t>
            </w:r>
            <w:r>
              <w:rPr>
                <w:rFonts w:hint="eastAsia" w:ascii="宋体" w:hAnsi="宋体" w:eastAsia="宋体" w:cs="宋体"/>
                <w:b/>
                <w:color w:val="auto"/>
                <w:szCs w:val="21"/>
                <w:lang w:val="en-US" w:eastAsia="zh-CN"/>
              </w:rPr>
              <w:t>5</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设计单位参与编制临时设施与永久性设施的结合利用实施方案，实现永临结合。</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查看永临结合实施方案，及现场实施效果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adjustRightInd w:val="0"/>
              <w:snapToGrid w:val="0"/>
              <w:spacing w:line="30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hint="eastAsia" w:ascii="宋体" w:hAnsi="宋体" w:eastAsia="宋体" w:cs="宋体"/>
                <w:b/>
                <w:color w:val="auto"/>
                <w:szCs w:val="21"/>
                <w:lang w:eastAsia="zh-CN"/>
              </w:rPr>
            </w:pPr>
            <w:r>
              <w:rPr>
                <w:rFonts w:hint="eastAsia" w:ascii="宋体" w:hAnsi="宋体" w:eastAsia="宋体" w:cs="宋体"/>
                <w:b/>
                <w:color w:val="auto"/>
                <w:szCs w:val="21"/>
              </w:rPr>
              <w:t>1</w:t>
            </w:r>
            <w:r>
              <w:rPr>
                <w:rFonts w:hint="eastAsia" w:ascii="宋体" w:hAnsi="宋体" w:eastAsia="宋体" w:cs="宋体"/>
                <w:b/>
                <w:color w:val="auto"/>
                <w:szCs w:val="21"/>
                <w:lang w:val="en-US" w:eastAsia="zh-CN"/>
              </w:rPr>
              <w:t>6</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建立完善的绿色建材供应链，采用绿色建筑材料、部品部件等。</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查阅相关竣工图、计算分析报告、检测报告、工程决算材料清单、绿色建材标识证书、施工记录</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adjustRightInd w:val="0"/>
              <w:snapToGrid w:val="0"/>
              <w:spacing w:line="30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hint="eastAsia" w:ascii="宋体" w:hAnsi="宋体" w:eastAsia="宋体" w:cs="宋体"/>
                <w:b/>
                <w:color w:val="auto"/>
                <w:szCs w:val="21"/>
                <w:lang w:eastAsia="zh-CN"/>
              </w:rPr>
            </w:pPr>
            <w:r>
              <w:rPr>
                <w:rFonts w:hint="eastAsia" w:ascii="宋体" w:hAnsi="宋体" w:eastAsia="宋体" w:cs="宋体"/>
                <w:b/>
                <w:color w:val="auto"/>
                <w:szCs w:val="21"/>
              </w:rPr>
              <w:t>1</w:t>
            </w:r>
            <w:r>
              <w:rPr>
                <w:rFonts w:hint="eastAsia" w:ascii="宋体" w:hAnsi="宋体" w:eastAsia="宋体" w:cs="宋体"/>
                <w:b/>
                <w:color w:val="auto"/>
                <w:szCs w:val="21"/>
                <w:lang w:val="en-US" w:eastAsia="zh-CN"/>
              </w:rPr>
              <w:t>7</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采用工业化、装配化建造方式，实现工程建 设低消耗、低排放、高质量和高效益。</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查看相关文件，及现场实施效果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adjustRightInd w:val="0"/>
              <w:snapToGrid w:val="0"/>
              <w:spacing w:line="30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hint="eastAsia" w:ascii="宋体" w:hAnsi="宋体" w:eastAsia="宋体" w:cs="宋体"/>
                <w:b/>
                <w:color w:val="auto"/>
                <w:szCs w:val="21"/>
                <w:lang w:eastAsia="zh-CN"/>
              </w:rPr>
            </w:pPr>
            <w:r>
              <w:rPr>
                <w:rFonts w:hint="eastAsia" w:ascii="宋体" w:hAnsi="宋体" w:eastAsia="宋体" w:cs="宋体"/>
                <w:b/>
                <w:color w:val="auto"/>
                <w:szCs w:val="21"/>
              </w:rPr>
              <w:t>1</w:t>
            </w:r>
            <w:r>
              <w:rPr>
                <w:rFonts w:hint="eastAsia" w:ascii="宋体" w:hAnsi="宋体" w:eastAsia="宋体" w:cs="宋体"/>
                <w:b/>
                <w:color w:val="auto"/>
                <w:szCs w:val="21"/>
                <w:lang w:val="en-US" w:eastAsia="zh-CN"/>
              </w:rPr>
              <w:t>8</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采用装配化施工工艺，建筑内外装修优先采用装配式装修等干式工法施工工艺及集成厨卫等模块化部品部 件，减少现场切割及湿作业。</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查看相关文件，及现场实施效果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adjustRightInd w:val="0"/>
              <w:snapToGrid w:val="0"/>
              <w:spacing w:line="30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hint="default" w:ascii="宋体" w:hAnsi="宋体" w:eastAsia="宋体" w:cs="宋体"/>
                <w:b/>
                <w:color w:val="auto"/>
                <w:szCs w:val="21"/>
                <w:lang w:val="en-US" w:eastAsia="zh-CN"/>
              </w:rPr>
            </w:pPr>
            <w:r>
              <w:rPr>
                <w:rFonts w:hint="eastAsia" w:ascii="宋体" w:hAnsi="宋体" w:eastAsia="宋体" w:cs="宋体"/>
                <w:b/>
                <w:color w:val="auto"/>
                <w:szCs w:val="21"/>
                <w:lang w:val="en-US" w:eastAsia="zh-CN"/>
              </w:rPr>
              <w:t>19</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制定建筑垃圾资源化利用方案。</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查看建筑垃圾资源化利用方案，及相关竣工图、垃圾收集设施布置图</w:t>
            </w:r>
            <w:r>
              <w:rPr>
                <w:rFonts w:hint="eastAsia" w:ascii="宋体" w:hAnsi="宋体" w:eastAsia="宋体" w:cs="宋体"/>
                <w:color w:val="auto"/>
                <w:szCs w:val="21"/>
                <w:lang w:eastAsia="zh-CN"/>
              </w:rPr>
              <w:t>；</w:t>
            </w:r>
            <w:r>
              <w:rPr>
                <w:rFonts w:hint="eastAsia" w:ascii="宋体" w:hAnsi="宋体" w:eastAsia="宋体" w:cs="宋体"/>
                <w:color w:val="auto"/>
                <w:szCs w:val="21"/>
              </w:rPr>
              <w:t>投入使用的项目尚应查阅相关管理制度、垃圾站运行记录（定期清洗与消杀记录、垃圾清运记录等）</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adjustRightInd w:val="0"/>
              <w:snapToGrid w:val="0"/>
              <w:spacing w:line="30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hint="default" w:ascii="宋体" w:hAnsi="宋体" w:eastAsia="宋体" w:cs="宋体"/>
                <w:b/>
                <w:color w:val="auto"/>
                <w:szCs w:val="21"/>
                <w:lang w:val="en-US" w:eastAsia="zh-CN"/>
              </w:rPr>
            </w:pPr>
            <w:r>
              <w:rPr>
                <w:rFonts w:hint="eastAsia" w:ascii="宋体" w:hAnsi="宋体" w:eastAsia="宋体" w:cs="宋体"/>
                <w:b/>
                <w:color w:val="auto"/>
                <w:szCs w:val="21"/>
                <w:lang w:val="en-US" w:eastAsia="zh-CN"/>
              </w:rPr>
              <w:t>20</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使用新型模架体系，提高施工临时设施和周转材料的工业化程度和周转次数。</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查看相关文件，及现场实施效果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adjustRightInd w:val="0"/>
              <w:snapToGrid w:val="0"/>
              <w:spacing w:line="30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hint="eastAsia" w:ascii="宋体" w:hAnsi="宋体" w:eastAsia="宋体" w:cs="宋体"/>
                <w:b/>
                <w:color w:val="auto"/>
                <w:szCs w:val="21"/>
                <w:lang w:eastAsia="zh-CN"/>
              </w:rPr>
            </w:pPr>
            <w:r>
              <w:rPr>
                <w:rFonts w:hint="eastAsia" w:ascii="宋体" w:hAnsi="宋体" w:eastAsia="宋体" w:cs="宋体"/>
                <w:b/>
                <w:color w:val="auto"/>
                <w:szCs w:val="21"/>
              </w:rPr>
              <w:t>2</w:t>
            </w:r>
            <w:r>
              <w:rPr>
                <w:rFonts w:hint="eastAsia" w:ascii="宋体" w:hAnsi="宋体" w:eastAsia="宋体" w:cs="宋体"/>
                <w:b/>
                <w:color w:val="auto"/>
                <w:szCs w:val="21"/>
                <w:lang w:val="en-US" w:eastAsia="zh-CN"/>
              </w:rPr>
              <w:t>1</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部品部件安装采用与其相匹配的工具化、标准化工装系统，采用适用的安装工法，制定合理的安装工序，减 少现场支模和脚手架搭建。</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查看相关文件，及现场实施效果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adjustRightInd w:val="0"/>
              <w:snapToGrid w:val="0"/>
              <w:spacing w:line="30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hint="eastAsia" w:ascii="宋体" w:hAnsi="宋体" w:eastAsia="宋体" w:cs="宋体"/>
                <w:b/>
                <w:color w:val="auto"/>
                <w:szCs w:val="21"/>
                <w:lang w:eastAsia="zh-CN"/>
              </w:rPr>
            </w:pPr>
            <w:r>
              <w:rPr>
                <w:rFonts w:hint="eastAsia" w:ascii="宋体" w:hAnsi="宋体" w:eastAsia="宋体" w:cs="宋体"/>
                <w:b/>
                <w:color w:val="auto"/>
                <w:szCs w:val="21"/>
              </w:rPr>
              <w:t>2</w:t>
            </w:r>
            <w:r>
              <w:rPr>
                <w:rFonts w:hint="eastAsia" w:ascii="宋体" w:hAnsi="宋体" w:eastAsia="宋体" w:cs="宋体"/>
                <w:b/>
                <w:color w:val="auto"/>
                <w:szCs w:val="21"/>
                <w:lang w:val="en-US" w:eastAsia="zh-CN"/>
              </w:rPr>
              <w:t>2</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编制施工现场水系统规划方案，科学收集和合理利用施工现场雨水、中</w:t>
            </w:r>
            <w:bookmarkStart w:id="0" w:name="_GoBack"/>
            <w:bookmarkEnd w:id="0"/>
            <w:r>
              <w:rPr>
                <w:rFonts w:hint="eastAsia" w:ascii="宋体" w:hAnsi="宋体" w:eastAsia="宋体" w:cs="宋体"/>
                <w:color w:val="auto"/>
                <w:szCs w:val="21"/>
              </w:rPr>
              <w:t>水。</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查看相关文件，及现场实施效果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hint="eastAsia" w:ascii="宋体" w:hAnsi="宋体" w:eastAsia="宋体" w:cs="宋体"/>
                <w:b/>
                <w:color w:val="auto"/>
                <w:szCs w:val="21"/>
                <w:lang w:eastAsia="zh-CN"/>
              </w:rPr>
            </w:pPr>
            <w:r>
              <w:rPr>
                <w:rFonts w:hint="eastAsia" w:ascii="宋体" w:hAnsi="宋体" w:eastAsia="宋体" w:cs="宋体"/>
                <w:b/>
                <w:color w:val="auto"/>
                <w:szCs w:val="21"/>
              </w:rPr>
              <w:t>2</w:t>
            </w:r>
            <w:r>
              <w:rPr>
                <w:rFonts w:hint="eastAsia" w:ascii="宋体" w:hAnsi="宋体" w:eastAsia="宋体" w:cs="宋体"/>
                <w:b/>
                <w:color w:val="auto"/>
                <w:szCs w:val="21"/>
                <w:lang w:val="en-US" w:eastAsia="zh-CN"/>
              </w:rPr>
              <w:t>3</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利用再生材料或可周转材料进行临时场地硬化。</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查看相关文件，及现场实施效果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hint="eastAsia" w:ascii="宋体" w:hAnsi="宋体" w:eastAsia="宋体" w:cs="宋体"/>
                <w:b/>
                <w:color w:val="auto"/>
                <w:szCs w:val="21"/>
                <w:lang w:eastAsia="zh-CN"/>
              </w:rPr>
            </w:pPr>
            <w:r>
              <w:rPr>
                <w:rFonts w:hint="eastAsia" w:ascii="宋体" w:hAnsi="宋体" w:eastAsia="宋体" w:cs="宋体"/>
                <w:b/>
                <w:color w:val="auto"/>
                <w:szCs w:val="21"/>
              </w:rPr>
              <w:t>2</w:t>
            </w:r>
            <w:r>
              <w:rPr>
                <w:rFonts w:hint="eastAsia" w:ascii="宋体" w:hAnsi="宋体" w:eastAsia="宋体" w:cs="宋体"/>
                <w:b/>
                <w:color w:val="auto"/>
                <w:szCs w:val="21"/>
                <w:lang w:val="en-US" w:eastAsia="zh-CN"/>
              </w:rPr>
              <w:t>4</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基于BIM设计信息，推进工厂生产全流程自动化、信息化、智能化。</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查阅相关竣工图、BIM技术应用报告</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46" w:type="dxa"/>
            <w:vAlign w:val="center"/>
          </w:tcPr>
          <w:p>
            <w:pPr>
              <w:adjustRightInd w:val="0"/>
              <w:snapToGrid w:val="0"/>
              <w:spacing w:line="300" w:lineRule="exact"/>
              <w:jc w:val="center"/>
              <w:rPr>
                <w:rFonts w:hint="eastAsia" w:ascii="宋体" w:hAnsi="宋体" w:eastAsia="宋体" w:cs="宋体"/>
                <w:b/>
                <w:color w:val="auto"/>
                <w:szCs w:val="21"/>
                <w:lang w:eastAsia="zh-CN"/>
              </w:rPr>
            </w:pPr>
            <w:r>
              <w:rPr>
                <w:rFonts w:hint="eastAsia" w:ascii="宋体" w:hAnsi="宋体" w:eastAsia="宋体" w:cs="宋体"/>
                <w:b/>
                <w:color w:val="auto"/>
                <w:szCs w:val="21"/>
              </w:rPr>
              <w:t>2</w:t>
            </w:r>
            <w:r>
              <w:rPr>
                <w:rFonts w:hint="eastAsia" w:ascii="宋体" w:hAnsi="宋体" w:eastAsia="宋体" w:cs="宋体"/>
                <w:b/>
                <w:color w:val="auto"/>
                <w:szCs w:val="21"/>
                <w:lang w:val="en-US" w:eastAsia="zh-CN"/>
              </w:rPr>
              <w:t>5</w:t>
            </w:r>
          </w:p>
        </w:tc>
        <w:tc>
          <w:tcPr>
            <w:tcW w:w="3509" w:type="dxa"/>
            <w:vAlign w:val="center"/>
          </w:tcPr>
          <w:p>
            <w:pPr>
              <w:adjustRightInd w:val="0"/>
              <w:snapToGrid w:val="0"/>
              <w:spacing w:line="300" w:lineRule="exact"/>
              <w:jc w:val="left"/>
              <w:rPr>
                <w:rFonts w:ascii="宋体" w:hAnsi="宋体" w:eastAsia="宋体" w:cs="宋体"/>
                <w:color w:val="auto"/>
                <w:szCs w:val="21"/>
              </w:rPr>
            </w:pPr>
            <w:r>
              <w:rPr>
                <w:rFonts w:hint="eastAsia" w:ascii="宋体" w:hAnsi="宋体" w:eastAsia="宋体" w:cs="宋体"/>
                <w:color w:val="auto"/>
                <w:szCs w:val="21"/>
              </w:rPr>
              <w:t>采用BIM等信息技术进行深化设计和专业协调， 避免“错漏碰缺”等问题。对危险性较大和工序复杂的方案进行三维模拟和可视化交底。</w:t>
            </w:r>
          </w:p>
        </w:tc>
        <w:tc>
          <w:tcPr>
            <w:tcW w:w="2432" w:type="dxa"/>
            <w:vAlign w:val="center"/>
          </w:tcPr>
          <w:p>
            <w:pPr>
              <w:adjustRightInd w:val="0"/>
              <w:snapToGrid w:val="0"/>
              <w:spacing w:line="300" w:lineRule="exact"/>
              <w:jc w:val="left"/>
              <w:rPr>
                <w:rFonts w:hint="eastAsia" w:ascii="宋体" w:hAnsi="宋体" w:eastAsia="宋体" w:cs="宋体"/>
                <w:color w:val="auto"/>
                <w:szCs w:val="21"/>
                <w:lang w:eastAsia="zh-CN"/>
              </w:rPr>
            </w:pPr>
            <w:r>
              <w:rPr>
                <w:rFonts w:hint="eastAsia" w:ascii="宋体" w:hAnsi="宋体" w:eastAsia="宋体" w:cs="宋体"/>
                <w:color w:val="auto"/>
                <w:szCs w:val="21"/>
              </w:rPr>
              <w:t>查看相关文件，及现场实施效果</w:t>
            </w:r>
            <w:r>
              <w:rPr>
                <w:rFonts w:hint="eastAsia" w:ascii="宋体" w:hAnsi="宋体" w:eastAsia="宋体" w:cs="宋体"/>
                <w:color w:val="auto"/>
                <w:szCs w:val="21"/>
                <w:lang w:eastAsia="zh-CN"/>
              </w:rPr>
              <w:t>。</w:t>
            </w:r>
          </w:p>
        </w:tc>
        <w:tc>
          <w:tcPr>
            <w:tcW w:w="869" w:type="dxa"/>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kern w:val="0"/>
                <w:szCs w:val="21"/>
                <w:lang w:val="en-US" w:eastAsia="zh-CN" w:bidi="ar"/>
              </w:rPr>
              <w:t>0~</w:t>
            </w:r>
            <w:r>
              <w:rPr>
                <w:rFonts w:hint="default" w:ascii="Times New Roman" w:hAnsi="Times New Roman" w:eastAsia="宋体" w:cs="Times New Roman"/>
                <w:color w:val="auto"/>
                <w:szCs w:val="21"/>
              </w:rPr>
              <w:t>3</w:t>
            </w:r>
          </w:p>
        </w:tc>
        <w:tc>
          <w:tcPr>
            <w:tcW w:w="1066" w:type="dxa"/>
            <w:vAlign w:val="center"/>
          </w:tcPr>
          <w:p>
            <w:pPr>
              <w:spacing w:line="240" w:lineRule="exact"/>
              <w:jc w:val="center"/>
              <w:rPr>
                <w:rFonts w:ascii="宋体" w:hAnsi="宋体" w:eastAsia="宋体" w:cs="宋体"/>
                <w:color w:val="auto"/>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40" w:hRule="atLeast"/>
          <w:jc w:val="center"/>
        </w:trPr>
        <w:tc>
          <w:tcPr>
            <w:tcW w:w="6587" w:type="dxa"/>
            <w:gridSpan w:val="3"/>
            <w:vAlign w:val="center"/>
          </w:tcPr>
          <w:p>
            <w:pPr>
              <w:adjustRightInd w:val="0"/>
              <w:snapToGrid w:val="0"/>
              <w:spacing w:line="300" w:lineRule="exact"/>
              <w:jc w:val="center"/>
              <w:rPr>
                <w:rFonts w:ascii="宋体" w:hAnsi="宋体" w:eastAsia="宋体" w:cs="宋体"/>
                <w:b/>
                <w:color w:val="auto"/>
                <w:szCs w:val="21"/>
              </w:rPr>
            </w:pPr>
            <w:r>
              <w:rPr>
                <w:rFonts w:hint="eastAsia" w:ascii="宋体" w:hAnsi="宋体" w:eastAsia="宋体" w:cs="宋体"/>
                <w:b/>
                <w:color w:val="auto"/>
                <w:szCs w:val="21"/>
              </w:rPr>
              <w:t>合  计</w:t>
            </w:r>
          </w:p>
        </w:tc>
        <w:tc>
          <w:tcPr>
            <w:tcW w:w="869" w:type="dxa"/>
            <w:vAlign w:val="center"/>
          </w:tcPr>
          <w:p>
            <w:pPr>
              <w:widowControl/>
              <w:jc w:val="center"/>
              <w:textAlignment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100</w:t>
            </w:r>
          </w:p>
        </w:tc>
        <w:tc>
          <w:tcPr>
            <w:tcW w:w="1066" w:type="dxa"/>
            <w:vAlign w:val="center"/>
          </w:tcPr>
          <w:p>
            <w:pPr>
              <w:spacing w:line="240" w:lineRule="exact"/>
              <w:jc w:val="center"/>
              <w:rPr>
                <w:rFonts w:ascii="宋体" w:hAnsi="宋体" w:eastAsia="宋体" w:cs="宋体"/>
                <w:color w:val="auto"/>
                <w:szCs w:val="21"/>
              </w:rPr>
            </w:pPr>
          </w:p>
        </w:tc>
      </w:tr>
    </w:tbl>
    <w:p>
      <w:pPr>
        <w:spacing w:before="240" w:line="358" w:lineRule="auto"/>
        <w:ind w:right="91"/>
        <w:rPr>
          <w:rFonts w:ascii="宋体" w:hAnsi="宋体" w:cs="宋体"/>
          <w:color w:val="auto"/>
          <w:kern w:val="0"/>
          <w:sz w:val="24"/>
        </w:rPr>
      </w:pPr>
    </w:p>
    <w:p>
      <w:pPr>
        <w:spacing w:before="240" w:line="358" w:lineRule="auto"/>
        <w:ind w:right="91"/>
        <w:rPr>
          <w:rFonts w:ascii="黑体" w:hAnsi="黑体" w:eastAsia="黑体" w:cs="黑体"/>
          <w:b/>
          <w:color w:val="auto"/>
          <w:kern w:val="0"/>
          <w:sz w:val="28"/>
          <w:szCs w:val="28"/>
        </w:rPr>
      </w:pPr>
      <w:r>
        <w:rPr>
          <w:rFonts w:hint="eastAsia" w:ascii="宋体" w:hAnsi="宋体" w:cs="宋体"/>
          <w:color w:val="auto"/>
          <w:kern w:val="0"/>
          <w:sz w:val="24"/>
        </w:rPr>
        <w:br w:type="page"/>
      </w:r>
      <w:r>
        <w:rPr>
          <w:rFonts w:hint="eastAsia" w:ascii="黑体" w:hAnsi="黑体" w:eastAsia="黑体" w:cs="黑体"/>
          <w:b/>
          <w:color w:val="auto"/>
          <w:kern w:val="0"/>
          <w:sz w:val="28"/>
          <w:szCs w:val="28"/>
        </w:rPr>
        <w:t>附件5</w:t>
      </w:r>
    </w:p>
    <w:p>
      <w:pPr>
        <w:spacing w:before="240" w:after="156" w:afterLines="50" w:line="358" w:lineRule="auto"/>
        <w:ind w:right="91"/>
        <w:jc w:val="center"/>
        <w:rPr>
          <w:rFonts w:ascii="宋体" w:hAnsi="宋体" w:cs="宋体"/>
          <w:color w:val="auto"/>
          <w:kern w:val="0"/>
          <w:sz w:val="24"/>
        </w:rPr>
      </w:pPr>
      <w:r>
        <w:rPr>
          <w:rFonts w:hint="eastAsia" w:ascii="宋体" w:hAnsi="宋体"/>
          <w:b/>
          <w:color w:val="auto"/>
          <w:kern w:val="0"/>
          <w:sz w:val="32"/>
          <w:szCs w:val="32"/>
        </w:rPr>
        <w:t>优选项评分表</w:t>
      </w:r>
    </w:p>
    <w:tbl>
      <w:tblPr>
        <w:tblStyle w:val="9"/>
        <w:tblW w:w="852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46"/>
        <w:gridCol w:w="3511"/>
        <w:gridCol w:w="2432"/>
        <w:gridCol w:w="975"/>
        <w:gridCol w:w="95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22" w:type="dxa"/>
            <w:gridSpan w:val="5"/>
            <w:tcBorders>
              <w:tl2br w:val="nil"/>
              <w:tr2bl w:val="nil"/>
            </w:tcBorders>
            <w:vAlign w:val="center"/>
          </w:tcPr>
          <w:p>
            <w:pPr>
              <w:jc w:val="center"/>
              <w:rPr>
                <w:rFonts w:ascii="Times New Roman" w:hAnsi="Times New Roman"/>
                <w:b/>
                <w:color w:val="auto"/>
                <w:kern w:val="0"/>
                <w:szCs w:val="21"/>
                <w:lang w:eastAsia="en-US"/>
              </w:rPr>
            </w:pPr>
            <w:r>
              <w:rPr>
                <w:rFonts w:ascii="Times New Roman" w:hAnsi="Times New Roman"/>
                <w:b/>
                <w:color w:val="auto"/>
                <w:kern w:val="0"/>
                <w:szCs w:val="21"/>
                <w:lang w:eastAsia="en-US"/>
              </w:rPr>
              <w:t>优选项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567" w:hRule="atLeast"/>
          <w:jc w:val="center"/>
        </w:trPr>
        <w:tc>
          <w:tcPr>
            <w:tcW w:w="646" w:type="dxa"/>
            <w:tcBorders>
              <w:tl2br w:val="nil"/>
              <w:tr2bl w:val="nil"/>
            </w:tcBorders>
            <w:vAlign w:val="center"/>
          </w:tcPr>
          <w:p>
            <w:pPr>
              <w:jc w:val="center"/>
              <w:rPr>
                <w:rFonts w:ascii="Times New Roman" w:hAnsi="Times New Roman"/>
                <w:b/>
                <w:color w:val="auto"/>
                <w:kern w:val="0"/>
                <w:szCs w:val="21"/>
                <w:lang w:eastAsia="en-US"/>
              </w:rPr>
            </w:pPr>
            <w:r>
              <w:rPr>
                <w:rFonts w:ascii="Times New Roman" w:hAnsi="Times New Roman"/>
                <w:b/>
                <w:color w:val="auto"/>
                <w:kern w:val="0"/>
                <w:szCs w:val="21"/>
                <w:lang w:eastAsia="en-US"/>
              </w:rPr>
              <w:t>序号</w:t>
            </w:r>
          </w:p>
        </w:tc>
        <w:tc>
          <w:tcPr>
            <w:tcW w:w="3511" w:type="dxa"/>
            <w:tcBorders>
              <w:tl2br w:val="nil"/>
              <w:tr2bl w:val="nil"/>
            </w:tcBorders>
            <w:vAlign w:val="center"/>
          </w:tcPr>
          <w:p>
            <w:pPr>
              <w:jc w:val="center"/>
              <w:rPr>
                <w:rFonts w:ascii="Times New Roman" w:hAnsi="Times New Roman"/>
                <w:b/>
                <w:color w:val="auto"/>
                <w:kern w:val="0"/>
                <w:szCs w:val="21"/>
                <w:lang w:eastAsia="en-US"/>
              </w:rPr>
            </w:pPr>
            <w:r>
              <w:rPr>
                <w:rFonts w:ascii="Times New Roman" w:hAnsi="Times New Roman"/>
                <w:b/>
                <w:color w:val="auto"/>
                <w:kern w:val="0"/>
                <w:szCs w:val="21"/>
                <w:lang w:eastAsia="en-US"/>
              </w:rPr>
              <w:t>评价内容</w:t>
            </w:r>
          </w:p>
        </w:tc>
        <w:tc>
          <w:tcPr>
            <w:tcW w:w="2432" w:type="dxa"/>
            <w:tcBorders>
              <w:tl2br w:val="nil"/>
              <w:tr2bl w:val="nil"/>
            </w:tcBorders>
            <w:vAlign w:val="center"/>
          </w:tcPr>
          <w:p>
            <w:pPr>
              <w:jc w:val="center"/>
              <w:rPr>
                <w:rFonts w:ascii="Times New Roman" w:hAnsi="Times New Roman"/>
                <w:b/>
                <w:color w:val="auto"/>
                <w:kern w:val="0"/>
                <w:szCs w:val="21"/>
                <w:lang w:eastAsia="en-US"/>
              </w:rPr>
            </w:pPr>
            <w:r>
              <w:rPr>
                <w:rFonts w:ascii="Times New Roman" w:hAnsi="Times New Roman"/>
                <w:b/>
                <w:color w:val="auto"/>
                <w:kern w:val="0"/>
                <w:szCs w:val="21"/>
                <w:lang w:eastAsia="en-US"/>
              </w:rPr>
              <w:t>评价方法</w:t>
            </w:r>
          </w:p>
        </w:tc>
        <w:tc>
          <w:tcPr>
            <w:tcW w:w="975" w:type="dxa"/>
            <w:tcBorders>
              <w:tl2br w:val="nil"/>
              <w:tr2bl w:val="nil"/>
            </w:tcBorders>
            <w:vAlign w:val="center"/>
          </w:tcPr>
          <w:p>
            <w:pPr>
              <w:jc w:val="center"/>
              <w:rPr>
                <w:rFonts w:hint="default" w:ascii="Times New Roman" w:hAnsi="Times New Roman" w:eastAsiaTheme="minorEastAsia"/>
                <w:b/>
                <w:color w:val="auto"/>
                <w:kern w:val="0"/>
                <w:szCs w:val="21"/>
                <w:lang w:val="en-US" w:eastAsia="zh-CN"/>
              </w:rPr>
            </w:pPr>
            <w:r>
              <w:rPr>
                <w:rFonts w:hint="eastAsia" w:ascii="Times New Roman" w:hAnsi="Times New Roman"/>
                <w:b/>
                <w:color w:val="auto"/>
                <w:kern w:val="0"/>
                <w:szCs w:val="21"/>
                <w:lang w:val="en-US" w:eastAsia="zh-CN"/>
              </w:rPr>
              <w:t>分值</w:t>
            </w:r>
          </w:p>
        </w:tc>
        <w:tc>
          <w:tcPr>
            <w:tcW w:w="958" w:type="dxa"/>
            <w:tcBorders>
              <w:tl2br w:val="nil"/>
              <w:tr2bl w:val="nil"/>
            </w:tcBorders>
            <w:vAlign w:val="center"/>
          </w:tcPr>
          <w:p>
            <w:pPr>
              <w:jc w:val="center"/>
              <w:rPr>
                <w:rFonts w:ascii="Times New Roman" w:hAnsi="Times New Roman"/>
                <w:b/>
                <w:color w:val="auto"/>
                <w:kern w:val="0"/>
                <w:szCs w:val="21"/>
                <w:lang w:eastAsia="en-US"/>
              </w:rPr>
            </w:pPr>
            <w:r>
              <w:rPr>
                <w:rFonts w:hint="eastAsia" w:ascii="Times New Roman" w:hAnsi="Times New Roman"/>
                <w:b/>
                <w:color w:val="auto"/>
                <w:kern w:val="0"/>
                <w:szCs w:val="21"/>
              </w:rPr>
              <w:t>得</w:t>
            </w:r>
            <w:r>
              <w:rPr>
                <w:rFonts w:ascii="Times New Roman" w:hAnsi="Times New Roman"/>
                <w:b/>
                <w:color w:val="auto"/>
                <w:kern w:val="0"/>
                <w:szCs w:val="21"/>
                <w:lang w:eastAsia="en-US"/>
              </w:rPr>
              <w:t>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46" w:type="dxa"/>
            <w:tcBorders>
              <w:tl2br w:val="nil"/>
              <w:tr2bl w:val="nil"/>
            </w:tcBorders>
            <w:vAlign w:val="center"/>
          </w:tcPr>
          <w:p>
            <w:pPr>
              <w:jc w:val="center"/>
              <w:rPr>
                <w:rFonts w:ascii="Times New Roman" w:hAnsi="Times New Roman"/>
                <w:b/>
                <w:color w:val="auto"/>
                <w:kern w:val="0"/>
                <w:szCs w:val="21"/>
                <w:lang w:eastAsia="en-US"/>
              </w:rPr>
            </w:pPr>
            <w:r>
              <w:rPr>
                <w:rFonts w:ascii="Times New Roman" w:hAnsi="Times New Roman"/>
                <w:b/>
                <w:color w:val="auto"/>
                <w:kern w:val="0"/>
                <w:szCs w:val="21"/>
                <w:lang w:eastAsia="en-US"/>
              </w:rPr>
              <w:t>1</w:t>
            </w:r>
          </w:p>
        </w:tc>
        <w:tc>
          <w:tcPr>
            <w:tcW w:w="3511" w:type="dxa"/>
            <w:tcBorders>
              <w:tl2br w:val="nil"/>
              <w:tr2bl w:val="nil"/>
            </w:tcBorders>
            <w:vAlign w:val="center"/>
          </w:tcPr>
          <w:p>
            <w:pPr>
              <w:rPr>
                <w:rFonts w:ascii="Times New Roman" w:hAnsi="Times New Roman"/>
                <w:color w:val="auto"/>
                <w:kern w:val="0"/>
                <w:szCs w:val="21"/>
                <w:lang w:eastAsia="en-US"/>
              </w:rPr>
            </w:pPr>
            <w:r>
              <w:rPr>
                <w:rFonts w:ascii="Times New Roman" w:hAnsi="Times New Roman"/>
                <w:color w:val="auto"/>
                <w:kern w:val="0"/>
                <w:szCs w:val="21"/>
                <w:lang w:eastAsia="en-US"/>
              </w:rPr>
              <w:t>采用全过程工程咨询的PPP、EPC、PEPC等工程总承包模式。</w:t>
            </w:r>
          </w:p>
        </w:tc>
        <w:tc>
          <w:tcPr>
            <w:tcW w:w="2432" w:type="dxa"/>
            <w:tcBorders>
              <w:tl2br w:val="nil"/>
              <w:tr2bl w:val="nil"/>
            </w:tcBorders>
            <w:vAlign w:val="center"/>
          </w:tcPr>
          <w:p>
            <w:pPr>
              <w:jc w:val="left"/>
              <w:rPr>
                <w:rFonts w:hint="eastAsia" w:ascii="Times New Roman" w:hAnsi="Times New Roman" w:eastAsiaTheme="minorEastAsia"/>
                <w:color w:val="auto"/>
                <w:kern w:val="0"/>
                <w:szCs w:val="21"/>
                <w:lang w:eastAsia="zh-CN"/>
              </w:rPr>
            </w:pPr>
            <w:r>
              <w:rPr>
                <w:rFonts w:ascii="Times New Roman" w:hAnsi="Times New Roman"/>
                <w:color w:val="auto"/>
                <w:kern w:val="0"/>
                <w:szCs w:val="21"/>
                <w:lang w:eastAsia="en-US"/>
              </w:rPr>
              <w:t>查阅相关合同文本</w:t>
            </w:r>
            <w:r>
              <w:rPr>
                <w:rFonts w:hint="eastAsia" w:ascii="Times New Roman" w:hAnsi="Times New Roman"/>
                <w:color w:val="auto"/>
                <w:kern w:val="0"/>
                <w:szCs w:val="21"/>
                <w:lang w:eastAsia="zh-CN"/>
              </w:rPr>
              <w:t>。</w:t>
            </w:r>
          </w:p>
        </w:tc>
        <w:tc>
          <w:tcPr>
            <w:tcW w:w="975" w:type="dxa"/>
            <w:tcBorders>
              <w:tl2br w:val="nil"/>
              <w:tr2bl w:val="nil"/>
            </w:tcBorders>
            <w:vAlign w:val="center"/>
          </w:tcPr>
          <w:p>
            <w:pPr>
              <w:jc w:val="center"/>
              <w:rPr>
                <w:rFonts w:ascii="Times New Roman" w:hAnsi="Times New Roman"/>
                <w:color w:val="auto"/>
                <w:kern w:val="0"/>
                <w:szCs w:val="21"/>
                <w:lang w:eastAsia="en-US"/>
              </w:rPr>
            </w:pPr>
            <w:r>
              <w:rPr>
                <w:rFonts w:ascii="Times New Roman" w:hAnsi="Times New Roman"/>
                <w:color w:val="auto"/>
                <w:kern w:val="0"/>
                <w:szCs w:val="21"/>
                <w:lang w:eastAsia="en-US"/>
              </w:rPr>
              <w:t>4</w:t>
            </w:r>
          </w:p>
        </w:tc>
        <w:tc>
          <w:tcPr>
            <w:tcW w:w="958" w:type="dxa"/>
            <w:tcBorders>
              <w:tl2br w:val="nil"/>
              <w:tr2bl w:val="nil"/>
            </w:tcBorders>
            <w:vAlign w:val="center"/>
          </w:tcPr>
          <w:p>
            <w:pPr>
              <w:jc w:val="center"/>
              <w:rPr>
                <w:rFonts w:ascii="Times New Roman" w:hAnsi="Times New Roman"/>
                <w:color w:val="auto"/>
                <w:kern w:val="0"/>
                <w:szCs w:val="21"/>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567" w:hRule="atLeast"/>
          <w:jc w:val="center"/>
        </w:trPr>
        <w:tc>
          <w:tcPr>
            <w:tcW w:w="646" w:type="dxa"/>
            <w:tcBorders>
              <w:tl2br w:val="nil"/>
              <w:tr2bl w:val="nil"/>
            </w:tcBorders>
            <w:vAlign w:val="center"/>
          </w:tcPr>
          <w:p>
            <w:pPr>
              <w:jc w:val="center"/>
              <w:rPr>
                <w:rFonts w:ascii="Times New Roman" w:hAnsi="Times New Roman"/>
                <w:b/>
                <w:color w:val="auto"/>
                <w:kern w:val="0"/>
                <w:szCs w:val="21"/>
                <w:lang w:eastAsia="en-US"/>
              </w:rPr>
            </w:pPr>
            <w:r>
              <w:rPr>
                <w:rFonts w:ascii="Times New Roman" w:hAnsi="Times New Roman"/>
                <w:b/>
                <w:color w:val="auto"/>
                <w:kern w:val="0"/>
                <w:szCs w:val="21"/>
                <w:lang w:eastAsia="en-US"/>
              </w:rPr>
              <w:t>2</w:t>
            </w:r>
          </w:p>
        </w:tc>
        <w:tc>
          <w:tcPr>
            <w:tcW w:w="3511" w:type="dxa"/>
            <w:tcBorders>
              <w:tl2br w:val="nil"/>
              <w:tr2bl w:val="nil"/>
            </w:tcBorders>
            <w:vAlign w:val="center"/>
          </w:tcPr>
          <w:p>
            <w:pPr>
              <w:jc w:val="left"/>
              <w:rPr>
                <w:rFonts w:ascii="Times New Roman" w:hAnsi="Times New Roman"/>
                <w:color w:val="auto"/>
                <w:kern w:val="0"/>
                <w:szCs w:val="21"/>
                <w:lang w:eastAsia="en-US"/>
              </w:rPr>
            </w:pPr>
            <w:r>
              <w:rPr>
                <w:rFonts w:ascii="Times New Roman" w:hAnsi="Times New Roman"/>
                <w:color w:val="auto"/>
                <w:kern w:val="0"/>
                <w:szCs w:val="21"/>
                <w:lang w:eastAsia="en-US"/>
              </w:rPr>
              <w:t>建立涵盖设计、生产、施工等不同阶段的协同设计机制，实现生产、施工、运营维护各方的前置参与，统筹管理项目方案设计、初步设计、施工图设计。</w:t>
            </w:r>
          </w:p>
        </w:tc>
        <w:tc>
          <w:tcPr>
            <w:tcW w:w="2432" w:type="dxa"/>
            <w:tcBorders>
              <w:tl2br w:val="nil"/>
              <w:tr2bl w:val="nil"/>
            </w:tcBorders>
            <w:vAlign w:val="center"/>
          </w:tcPr>
          <w:p>
            <w:pPr>
              <w:jc w:val="left"/>
              <w:rPr>
                <w:rFonts w:hint="eastAsia" w:ascii="Times New Roman" w:hAnsi="Times New Roman" w:eastAsiaTheme="minorEastAsia"/>
                <w:color w:val="auto"/>
                <w:kern w:val="0"/>
                <w:szCs w:val="21"/>
                <w:lang w:eastAsia="zh-CN"/>
              </w:rPr>
            </w:pPr>
            <w:r>
              <w:rPr>
                <w:rFonts w:ascii="Times New Roman" w:hAnsi="Times New Roman"/>
                <w:color w:val="auto"/>
                <w:kern w:val="0"/>
                <w:szCs w:val="21"/>
                <w:lang w:eastAsia="en-US"/>
              </w:rPr>
              <w:t>查阅设计团队专业设计协同会议纪要和有关设计可施工性的论证会会议纪要</w:t>
            </w:r>
            <w:r>
              <w:rPr>
                <w:rFonts w:hint="eastAsia" w:ascii="Times New Roman" w:hAnsi="Times New Roman"/>
                <w:color w:val="auto"/>
                <w:kern w:val="0"/>
                <w:szCs w:val="21"/>
                <w:lang w:eastAsia="zh-CN"/>
              </w:rPr>
              <w:t>。</w:t>
            </w:r>
          </w:p>
        </w:tc>
        <w:tc>
          <w:tcPr>
            <w:tcW w:w="975" w:type="dxa"/>
            <w:tcBorders>
              <w:tl2br w:val="nil"/>
              <w:tr2bl w:val="nil"/>
            </w:tcBorders>
            <w:vAlign w:val="center"/>
          </w:tcPr>
          <w:p>
            <w:pPr>
              <w:jc w:val="center"/>
              <w:rPr>
                <w:rFonts w:ascii="Times New Roman" w:hAnsi="Times New Roman"/>
                <w:color w:val="auto"/>
                <w:kern w:val="0"/>
                <w:szCs w:val="21"/>
                <w:lang w:eastAsia="en-US"/>
              </w:rPr>
            </w:pPr>
            <w:r>
              <w:rPr>
                <w:rFonts w:hint="default" w:ascii="Times New Roman" w:hAnsi="Times New Roman" w:eastAsia="宋体" w:cs="Times New Roman"/>
                <w:color w:val="auto"/>
                <w:kern w:val="0"/>
                <w:szCs w:val="21"/>
                <w:lang w:val="en-US" w:eastAsia="zh-CN" w:bidi="ar"/>
              </w:rPr>
              <w:t>0~</w:t>
            </w:r>
            <w:r>
              <w:rPr>
                <w:rFonts w:ascii="Times New Roman" w:hAnsi="Times New Roman"/>
                <w:color w:val="auto"/>
                <w:kern w:val="0"/>
                <w:szCs w:val="21"/>
                <w:lang w:eastAsia="en-US"/>
              </w:rPr>
              <w:t>4</w:t>
            </w:r>
          </w:p>
        </w:tc>
        <w:tc>
          <w:tcPr>
            <w:tcW w:w="958" w:type="dxa"/>
            <w:tcBorders>
              <w:tl2br w:val="nil"/>
              <w:tr2bl w:val="nil"/>
            </w:tcBorders>
            <w:vAlign w:val="center"/>
          </w:tcPr>
          <w:p>
            <w:pPr>
              <w:jc w:val="center"/>
              <w:rPr>
                <w:rFonts w:ascii="Times New Roman" w:hAnsi="Times New Roman"/>
                <w:color w:val="auto"/>
                <w:kern w:val="0"/>
                <w:szCs w:val="21"/>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567" w:hRule="atLeast"/>
          <w:jc w:val="center"/>
        </w:trPr>
        <w:tc>
          <w:tcPr>
            <w:tcW w:w="646" w:type="dxa"/>
            <w:tcBorders>
              <w:tl2br w:val="nil"/>
              <w:tr2bl w:val="nil"/>
            </w:tcBorders>
            <w:vAlign w:val="center"/>
          </w:tcPr>
          <w:p>
            <w:pPr>
              <w:jc w:val="center"/>
              <w:rPr>
                <w:rFonts w:ascii="Times New Roman" w:hAnsi="Times New Roman"/>
                <w:b/>
                <w:color w:val="auto"/>
                <w:kern w:val="0"/>
                <w:szCs w:val="21"/>
                <w:lang w:eastAsia="en-US"/>
              </w:rPr>
            </w:pPr>
            <w:r>
              <w:rPr>
                <w:rFonts w:ascii="Times New Roman" w:hAnsi="Times New Roman"/>
                <w:b/>
                <w:color w:val="auto"/>
                <w:kern w:val="0"/>
                <w:szCs w:val="21"/>
                <w:lang w:eastAsia="en-US"/>
              </w:rPr>
              <w:t>3</w:t>
            </w:r>
          </w:p>
        </w:tc>
        <w:tc>
          <w:tcPr>
            <w:tcW w:w="3511" w:type="dxa"/>
            <w:tcBorders>
              <w:tl2br w:val="nil"/>
              <w:tr2bl w:val="nil"/>
            </w:tcBorders>
            <w:vAlign w:val="center"/>
          </w:tcPr>
          <w:p>
            <w:pPr>
              <w:jc w:val="left"/>
              <w:rPr>
                <w:rFonts w:ascii="Times New Roman" w:hAnsi="Times New Roman"/>
                <w:color w:val="auto"/>
                <w:kern w:val="0"/>
                <w:szCs w:val="21"/>
                <w:lang w:eastAsia="en-US"/>
              </w:rPr>
            </w:pPr>
            <w:r>
              <w:rPr>
                <w:rFonts w:ascii="Times New Roman" w:hAnsi="Times New Roman"/>
                <w:color w:val="auto"/>
                <w:kern w:val="0"/>
                <w:szCs w:val="21"/>
                <w:lang w:eastAsia="en-US"/>
              </w:rPr>
              <w:t>采用 BIM 面向建造阶段的正向设计、优化设计，支撑不同专业间设计、生产与施工过程。</w:t>
            </w:r>
          </w:p>
        </w:tc>
        <w:tc>
          <w:tcPr>
            <w:tcW w:w="2432" w:type="dxa"/>
            <w:tcBorders>
              <w:tl2br w:val="nil"/>
              <w:tr2bl w:val="nil"/>
            </w:tcBorders>
            <w:vAlign w:val="center"/>
          </w:tcPr>
          <w:p>
            <w:pPr>
              <w:jc w:val="left"/>
              <w:rPr>
                <w:rFonts w:hint="eastAsia" w:ascii="Times New Roman" w:hAnsi="Times New Roman" w:eastAsiaTheme="minorEastAsia"/>
                <w:color w:val="auto"/>
                <w:kern w:val="0"/>
                <w:szCs w:val="21"/>
                <w:lang w:eastAsia="zh-CN"/>
              </w:rPr>
            </w:pPr>
            <w:r>
              <w:rPr>
                <w:rFonts w:ascii="Times New Roman" w:hAnsi="Times New Roman"/>
                <w:color w:val="auto"/>
                <w:kern w:val="0"/>
                <w:szCs w:val="21"/>
                <w:lang w:eastAsia="en-US"/>
              </w:rPr>
              <w:t>查看BIM相关设计的文件图纸、文件等</w:t>
            </w:r>
            <w:r>
              <w:rPr>
                <w:rFonts w:hint="eastAsia" w:ascii="Times New Roman" w:hAnsi="Times New Roman"/>
                <w:color w:val="auto"/>
                <w:kern w:val="0"/>
                <w:szCs w:val="21"/>
                <w:lang w:eastAsia="zh-CN"/>
              </w:rPr>
              <w:t>。</w:t>
            </w:r>
          </w:p>
        </w:tc>
        <w:tc>
          <w:tcPr>
            <w:tcW w:w="975" w:type="dxa"/>
            <w:tcBorders>
              <w:tl2br w:val="nil"/>
              <w:tr2bl w:val="nil"/>
            </w:tcBorders>
            <w:vAlign w:val="center"/>
          </w:tcPr>
          <w:p>
            <w:pPr>
              <w:jc w:val="center"/>
              <w:rPr>
                <w:rFonts w:ascii="Times New Roman" w:hAnsi="Times New Roman"/>
                <w:color w:val="auto"/>
                <w:kern w:val="0"/>
                <w:szCs w:val="21"/>
                <w:lang w:eastAsia="en-US"/>
              </w:rPr>
            </w:pPr>
            <w:r>
              <w:rPr>
                <w:rFonts w:hint="default" w:ascii="Times New Roman" w:hAnsi="Times New Roman" w:eastAsia="宋体" w:cs="Times New Roman"/>
                <w:color w:val="auto"/>
                <w:kern w:val="0"/>
                <w:szCs w:val="21"/>
                <w:lang w:val="en-US" w:eastAsia="zh-CN" w:bidi="ar"/>
              </w:rPr>
              <w:t>0~</w:t>
            </w:r>
            <w:r>
              <w:rPr>
                <w:rFonts w:ascii="Times New Roman" w:hAnsi="Times New Roman"/>
                <w:color w:val="auto"/>
                <w:kern w:val="0"/>
                <w:szCs w:val="21"/>
                <w:lang w:eastAsia="en-US"/>
              </w:rPr>
              <w:t>4</w:t>
            </w:r>
          </w:p>
        </w:tc>
        <w:tc>
          <w:tcPr>
            <w:tcW w:w="958" w:type="dxa"/>
            <w:tcBorders>
              <w:tl2br w:val="nil"/>
              <w:tr2bl w:val="nil"/>
            </w:tcBorders>
            <w:vAlign w:val="center"/>
          </w:tcPr>
          <w:p>
            <w:pPr>
              <w:jc w:val="center"/>
              <w:rPr>
                <w:rFonts w:ascii="Times New Roman" w:hAnsi="Times New Roman"/>
                <w:color w:val="auto"/>
                <w:kern w:val="0"/>
                <w:szCs w:val="21"/>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46" w:type="dxa"/>
            <w:tcBorders>
              <w:tl2br w:val="nil"/>
              <w:tr2bl w:val="nil"/>
            </w:tcBorders>
            <w:vAlign w:val="center"/>
          </w:tcPr>
          <w:p>
            <w:pPr>
              <w:jc w:val="center"/>
              <w:rPr>
                <w:rFonts w:ascii="Times New Roman" w:hAnsi="Times New Roman"/>
                <w:b/>
                <w:color w:val="auto"/>
                <w:kern w:val="0"/>
                <w:szCs w:val="21"/>
                <w:lang w:eastAsia="en-US"/>
              </w:rPr>
            </w:pPr>
            <w:r>
              <w:rPr>
                <w:rFonts w:ascii="Times New Roman" w:hAnsi="Times New Roman"/>
                <w:b/>
                <w:color w:val="auto"/>
                <w:kern w:val="0"/>
                <w:szCs w:val="21"/>
                <w:lang w:eastAsia="en-US"/>
              </w:rPr>
              <w:t>4</w:t>
            </w:r>
          </w:p>
        </w:tc>
        <w:tc>
          <w:tcPr>
            <w:tcW w:w="3511" w:type="dxa"/>
            <w:tcBorders>
              <w:tl2br w:val="nil"/>
              <w:tr2bl w:val="nil"/>
            </w:tcBorders>
            <w:vAlign w:val="center"/>
          </w:tcPr>
          <w:p>
            <w:pPr>
              <w:jc w:val="left"/>
              <w:rPr>
                <w:rFonts w:ascii="Times New Roman" w:hAnsi="Times New Roman"/>
                <w:color w:val="auto"/>
                <w:kern w:val="0"/>
                <w:szCs w:val="21"/>
                <w:lang w:eastAsia="en-US"/>
              </w:rPr>
            </w:pPr>
            <w:r>
              <w:rPr>
                <w:rFonts w:ascii="Times New Roman" w:hAnsi="Times New Roman"/>
                <w:color w:val="auto"/>
                <w:kern w:val="0"/>
                <w:szCs w:val="21"/>
                <w:lang w:eastAsia="en-US"/>
              </w:rPr>
              <w:t>通过运用BIM、大数据、云计算、物联网以及移动通讯等信息化技术，促进设计、生产、施工、运营维护等全产业链联动，支持项目多参与方协同工作，实现建造全过程统筹管理。</w:t>
            </w:r>
          </w:p>
        </w:tc>
        <w:tc>
          <w:tcPr>
            <w:tcW w:w="2432" w:type="dxa"/>
            <w:tcBorders>
              <w:tl2br w:val="nil"/>
              <w:tr2bl w:val="nil"/>
            </w:tcBorders>
            <w:vAlign w:val="center"/>
          </w:tcPr>
          <w:p>
            <w:pPr>
              <w:jc w:val="left"/>
              <w:rPr>
                <w:rFonts w:hint="eastAsia" w:ascii="Times New Roman" w:hAnsi="Times New Roman" w:eastAsiaTheme="minorEastAsia"/>
                <w:color w:val="auto"/>
                <w:kern w:val="0"/>
                <w:szCs w:val="21"/>
                <w:lang w:eastAsia="zh-CN"/>
              </w:rPr>
            </w:pPr>
            <w:r>
              <w:rPr>
                <w:rFonts w:ascii="Times New Roman" w:hAnsi="Times New Roman"/>
                <w:color w:val="auto"/>
                <w:kern w:val="0"/>
                <w:szCs w:val="21"/>
                <w:lang w:eastAsia="en-US"/>
              </w:rPr>
              <w:t>查看相关文件，及现场实施效果</w:t>
            </w:r>
            <w:r>
              <w:rPr>
                <w:rFonts w:hint="eastAsia" w:ascii="Times New Roman" w:hAnsi="Times New Roman"/>
                <w:color w:val="auto"/>
                <w:kern w:val="0"/>
                <w:szCs w:val="21"/>
                <w:lang w:eastAsia="zh-CN"/>
              </w:rPr>
              <w:t>。</w:t>
            </w:r>
          </w:p>
        </w:tc>
        <w:tc>
          <w:tcPr>
            <w:tcW w:w="975" w:type="dxa"/>
            <w:tcBorders>
              <w:tl2br w:val="nil"/>
              <w:tr2bl w:val="nil"/>
            </w:tcBorders>
            <w:vAlign w:val="center"/>
          </w:tcPr>
          <w:p>
            <w:pPr>
              <w:jc w:val="center"/>
              <w:rPr>
                <w:rFonts w:ascii="Times New Roman" w:hAnsi="Times New Roman"/>
                <w:color w:val="auto"/>
                <w:kern w:val="0"/>
                <w:szCs w:val="21"/>
                <w:lang w:eastAsia="en-US"/>
              </w:rPr>
            </w:pPr>
            <w:r>
              <w:rPr>
                <w:rFonts w:hint="default" w:ascii="Times New Roman" w:hAnsi="Times New Roman" w:eastAsia="宋体" w:cs="Times New Roman"/>
                <w:color w:val="auto"/>
                <w:kern w:val="0"/>
                <w:szCs w:val="21"/>
                <w:lang w:val="en-US" w:eastAsia="zh-CN" w:bidi="ar"/>
              </w:rPr>
              <w:t>0~</w:t>
            </w:r>
            <w:r>
              <w:rPr>
                <w:rFonts w:ascii="Times New Roman" w:hAnsi="Times New Roman"/>
                <w:color w:val="auto"/>
                <w:kern w:val="0"/>
                <w:szCs w:val="21"/>
                <w:lang w:eastAsia="en-US"/>
              </w:rPr>
              <w:t>4</w:t>
            </w:r>
          </w:p>
        </w:tc>
        <w:tc>
          <w:tcPr>
            <w:tcW w:w="958" w:type="dxa"/>
            <w:tcBorders>
              <w:tl2br w:val="nil"/>
              <w:tr2bl w:val="nil"/>
            </w:tcBorders>
            <w:vAlign w:val="center"/>
          </w:tcPr>
          <w:p>
            <w:pPr>
              <w:jc w:val="center"/>
              <w:rPr>
                <w:rFonts w:ascii="Times New Roman" w:hAnsi="Times New Roman"/>
                <w:color w:val="auto"/>
                <w:kern w:val="0"/>
                <w:szCs w:val="21"/>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567" w:hRule="atLeast"/>
          <w:jc w:val="center"/>
        </w:trPr>
        <w:tc>
          <w:tcPr>
            <w:tcW w:w="646" w:type="dxa"/>
            <w:tcBorders>
              <w:tl2br w:val="nil"/>
              <w:tr2bl w:val="nil"/>
            </w:tcBorders>
            <w:vAlign w:val="center"/>
          </w:tcPr>
          <w:p>
            <w:pPr>
              <w:jc w:val="center"/>
              <w:rPr>
                <w:rFonts w:ascii="Times New Roman" w:hAnsi="Times New Roman"/>
                <w:b/>
                <w:color w:val="auto"/>
                <w:kern w:val="0"/>
                <w:szCs w:val="21"/>
                <w:lang w:eastAsia="en-US"/>
              </w:rPr>
            </w:pPr>
            <w:r>
              <w:rPr>
                <w:rFonts w:ascii="Times New Roman" w:hAnsi="Times New Roman"/>
                <w:b/>
                <w:color w:val="auto"/>
                <w:kern w:val="0"/>
                <w:szCs w:val="21"/>
                <w:lang w:eastAsia="en-US"/>
              </w:rPr>
              <w:t>5</w:t>
            </w:r>
          </w:p>
        </w:tc>
        <w:tc>
          <w:tcPr>
            <w:tcW w:w="3511" w:type="dxa"/>
            <w:tcBorders>
              <w:tl2br w:val="nil"/>
              <w:tr2bl w:val="nil"/>
            </w:tcBorders>
            <w:vAlign w:val="center"/>
          </w:tcPr>
          <w:p>
            <w:pPr>
              <w:jc w:val="left"/>
              <w:rPr>
                <w:rFonts w:ascii="Times New Roman" w:hAnsi="Times New Roman"/>
                <w:color w:val="auto"/>
                <w:kern w:val="0"/>
                <w:szCs w:val="21"/>
                <w:lang w:eastAsia="en-US"/>
              </w:rPr>
            </w:pPr>
            <w:r>
              <w:rPr>
                <w:rFonts w:ascii="Times New Roman" w:hAnsi="Times New Roman"/>
                <w:color w:val="auto"/>
                <w:kern w:val="0"/>
                <w:szCs w:val="21"/>
                <w:lang w:eastAsia="en-US"/>
              </w:rPr>
              <w:t>企业生产过程采用信息化管理平台+BIM+智慧工地协同的方式。</w:t>
            </w:r>
          </w:p>
        </w:tc>
        <w:tc>
          <w:tcPr>
            <w:tcW w:w="2432" w:type="dxa"/>
            <w:tcBorders>
              <w:tl2br w:val="nil"/>
              <w:tr2bl w:val="nil"/>
            </w:tcBorders>
            <w:vAlign w:val="center"/>
          </w:tcPr>
          <w:p>
            <w:pPr>
              <w:rPr>
                <w:rFonts w:hint="eastAsia" w:ascii="Times New Roman" w:hAnsi="Times New Roman" w:eastAsiaTheme="minorEastAsia"/>
                <w:color w:val="auto"/>
                <w:kern w:val="0"/>
                <w:szCs w:val="21"/>
                <w:lang w:eastAsia="zh-CN"/>
              </w:rPr>
            </w:pPr>
            <w:r>
              <w:rPr>
                <w:rFonts w:ascii="Times New Roman" w:hAnsi="Times New Roman"/>
                <w:color w:val="auto"/>
                <w:kern w:val="0"/>
                <w:szCs w:val="21"/>
                <w:lang w:eastAsia="en-US"/>
              </w:rPr>
              <w:t>查看相关文件，及应用效果</w:t>
            </w:r>
            <w:r>
              <w:rPr>
                <w:rFonts w:hint="eastAsia" w:ascii="Times New Roman" w:hAnsi="Times New Roman"/>
                <w:color w:val="auto"/>
                <w:kern w:val="0"/>
                <w:szCs w:val="21"/>
                <w:lang w:eastAsia="zh-CN"/>
              </w:rPr>
              <w:t>。</w:t>
            </w:r>
          </w:p>
        </w:tc>
        <w:tc>
          <w:tcPr>
            <w:tcW w:w="975" w:type="dxa"/>
            <w:tcBorders>
              <w:tl2br w:val="nil"/>
              <w:tr2bl w:val="nil"/>
            </w:tcBorders>
            <w:vAlign w:val="center"/>
          </w:tcPr>
          <w:p>
            <w:pPr>
              <w:jc w:val="center"/>
              <w:rPr>
                <w:rFonts w:ascii="Times New Roman" w:hAnsi="Times New Roman"/>
                <w:color w:val="auto"/>
                <w:kern w:val="0"/>
                <w:szCs w:val="21"/>
                <w:lang w:eastAsia="en-US"/>
              </w:rPr>
            </w:pPr>
            <w:r>
              <w:rPr>
                <w:rFonts w:ascii="Times New Roman" w:hAnsi="Times New Roman"/>
                <w:color w:val="auto"/>
                <w:kern w:val="0"/>
                <w:szCs w:val="21"/>
                <w:lang w:eastAsia="en-US"/>
              </w:rPr>
              <w:t>4</w:t>
            </w:r>
          </w:p>
        </w:tc>
        <w:tc>
          <w:tcPr>
            <w:tcW w:w="958" w:type="dxa"/>
            <w:tcBorders>
              <w:tl2br w:val="nil"/>
              <w:tr2bl w:val="nil"/>
            </w:tcBorders>
            <w:vAlign w:val="center"/>
          </w:tcPr>
          <w:p>
            <w:pPr>
              <w:jc w:val="center"/>
              <w:rPr>
                <w:rFonts w:ascii="Times New Roman" w:hAnsi="Times New Roman"/>
                <w:color w:val="auto"/>
                <w:kern w:val="0"/>
                <w:szCs w:val="21"/>
                <w:lang w:eastAsia="en-US"/>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6589" w:type="dxa"/>
            <w:gridSpan w:val="3"/>
            <w:tcBorders>
              <w:tl2br w:val="nil"/>
              <w:tr2bl w:val="nil"/>
            </w:tcBorders>
            <w:vAlign w:val="center"/>
          </w:tcPr>
          <w:p>
            <w:pPr>
              <w:jc w:val="center"/>
              <w:rPr>
                <w:rFonts w:ascii="Times New Roman" w:hAnsi="Times New Roman"/>
                <w:b/>
                <w:color w:val="auto"/>
                <w:kern w:val="0"/>
                <w:szCs w:val="21"/>
                <w:lang w:eastAsia="en-US"/>
              </w:rPr>
            </w:pPr>
            <w:r>
              <w:rPr>
                <w:rFonts w:ascii="Times New Roman" w:hAnsi="Times New Roman"/>
                <w:b/>
                <w:color w:val="auto"/>
                <w:kern w:val="0"/>
                <w:szCs w:val="21"/>
                <w:lang w:eastAsia="en-US"/>
              </w:rPr>
              <w:t>合  计</w:t>
            </w:r>
          </w:p>
        </w:tc>
        <w:tc>
          <w:tcPr>
            <w:tcW w:w="975" w:type="dxa"/>
            <w:tcBorders>
              <w:tl2br w:val="nil"/>
              <w:tr2bl w:val="nil"/>
            </w:tcBorders>
            <w:vAlign w:val="center"/>
          </w:tcPr>
          <w:p>
            <w:pPr>
              <w:jc w:val="center"/>
              <w:rPr>
                <w:rFonts w:ascii="Times New Roman" w:hAnsi="Times New Roman"/>
                <w:color w:val="auto"/>
                <w:kern w:val="0"/>
                <w:szCs w:val="21"/>
                <w:lang w:eastAsia="en-US"/>
              </w:rPr>
            </w:pPr>
            <w:r>
              <w:rPr>
                <w:rFonts w:ascii="Times New Roman" w:hAnsi="Times New Roman"/>
                <w:color w:val="auto"/>
                <w:kern w:val="0"/>
                <w:szCs w:val="21"/>
                <w:lang w:eastAsia="en-US"/>
              </w:rPr>
              <w:t>20</w:t>
            </w:r>
          </w:p>
        </w:tc>
        <w:tc>
          <w:tcPr>
            <w:tcW w:w="958" w:type="dxa"/>
            <w:tcBorders>
              <w:tl2br w:val="nil"/>
              <w:tr2bl w:val="nil"/>
            </w:tcBorders>
            <w:vAlign w:val="center"/>
          </w:tcPr>
          <w:p>
            <w:pPr>
              <w:jc w:val="center"/>
              <w:rPr>
                <w:rFonts w:ascii="Times New Roman" w:hAnsi="Times New Roman"/>
                <w:color w:val="auto"/>
                <w:kern w:val="0"/>
                <w:szCs w:val="21"/>
                <w:lang w:eastAsia="en-US"/>
              </w:rPr>
            </w:pPr>
          </w:p>
        </w:tc>
      </w:tr>
    </w:tbl>
    <w:p>
      <w:pPr>
        <w:spacing w:before="240" w:line="358" w:lineRule="auto"/>
        <w:ind w:right="91"/>
        <w:rPr>
          <w:rFonts w:ascii="黑体" w:hAnsi="黑体" w:eastAsia="黑体" w:cs="黑体"/>
          <w:b/>
          <w:color w:val="auto"/>
          <w:kern w:val="0"/>
          <w:sz w:val="28"/>
          <w:szCs w:val="28"/>
        </w:rPr>
      </w:pPr>
      <w:r>
        <w:rPr>
          <w:rFonts w:ascii="宋体" w:hAnsi="宋体" w:cs="宋体"/>
          <w:color w:val="auto"/>
          <w:kern w:val="0"/>
          <w:sz w:val="24"/>
        </w:rPr>
        <w:br w:type="page"/>
      </w:r>
      <w:r>
        <w:rPr>
          <w:rFonts w:hint="eastAsia" w:ascii="黑体" w:hAnsi="黑体" w:eastAsia="黑体" w:cs="黑体"/>
          <w:b/>
          <w:color w:val="auto"/>
          <w:kern w:val="0"/>
          <w:sz w:val="28"/>
          <w:szCs w:val="28"/>
        </w:rPr>
        <w:t>附件6</w:t>
      </w:r>
    </w:p>
    <w:p>
      <w:pPr>
        <w:spacing w:before="240" w:after="156" w:afterLines="50" w:line="358" w:lineRule="auto"/>
        <w:ind w:right="91"/>
        <w:jc w:val="center"/>
        <w:rPr>
          <w:rFonts w:ascii="宋体" w:hAnsi="宋体" w:cs="宋体"/>
          <w:color w:val="auto"/>
          <w:kern w:val="0"/>
          <w:sz w:val="24"/>
        </w:rPr>
      </w:pPr>
      <w:r>
        <w:rPr>
          <w:rFonts w:hint="eastAsia" w:ascii="宋体" w:hAnsi="宋体"/>
          <w:b/>
          <w:color w:val="auto"/>
          <w:kern w:val="0"/>
          <w:sz w:val="32"/>
          <w:szCs w:val="32"/>
        </w:rPr>
        <w:t>评价结果汇总表</w:t>
      </w:r>
    </w:p>
    <w:tbl>
      <w:tblPr>
        <w:tblStyle w:val="9"/>
        <w:tblW w:w="834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7"/>
        <w:gridCol w:w="1658"/>
        <w:gridCol w:w="3700"/>
        <w:gridCol w:w="1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27" w:type="dxa"/>
            <w:vAlign w:val="center"/>
          </w:tcPr>
          <w:p>
            <w:pPr>
              <w:jc w:val="center"/>
              <w:rPr>
                <w:rFonts w:ascii="Times New Roman" w:hAnsi="Times New Roman"/>
                <w:b/>
                <w:bCs/>
                <w:color w:val="auto"/>
                <w:kern w:val="0"/>
                <w:szCs w:val="21"/>
                <w:lang w:eastAsia="en-US"/>
              </w:rPr>
            </w:pPr>
            <w:r>
              <w:rPr>
                <w:rFonts w:ascii="Times New Roman" w:hAnsi="Times New Roman"/>
                <w:b/>
                <w:bCs/>
                <w:color w:val="auto"/>
                <w:kern w:val="0"/>
                <w:szCs w:val="21"/>
                <w:lang w:eastAsia="en-US"/>
              </w:rPr>
              <w:t>项目</w:t>
            </w:r>
          </w:p>
        </w:tc>
        <w:tc>
          <w:tcPr>
            <w:tcW w:w="5358" w:type="dxa"/>
            <w:gridSpan w:val="2"/>
            <w:vAlign w:val="center"/>
          </w:tcPr>
          <w:p>
            <w:pPr>
              <w:jc w:val="center"/>
              <w:rPr>
                <w:rFonts w:ascii="Times New Roman" w:hAnsi="Times New Roman"/>
                <w:b/>
                <w:bCs/>
                <w:color w:val="auto"/>
                <w:kern w:val="0"/>
                <w:szCs w:val="21"/>
              </w:rPr>
            </w:pPr>
            <w:r>
              <w:rPr>
                <w:rFonts w:ascii="Times New Roman" w:hAnsi="Times New Roman"/>
                <w:b/>
                <w:bCs/>
                <w:color w:val="auto"/>
                <w:kern w:val="0"/>
                <w:szCs w:val="21"/>
              </w:rPr>
              <w:t>评价维度</w:t>
            </w:r>
          </w:p>
        </w:tc>
        <w:tc>
          <w:tcPr>
            <w:tcW w:w="1661" w:type="dxa"/>
            <w:vAlign w:val="center"/>
          </w:tcPr>
          <w:p>
            <w:pPr>
              <w:jc w:val="center"/>
              <w:rPr>
                <w:rFonts w:ascii="Times New Roman" w:hAnsi="Times New Roman"/>
                <w:b/>
                <w:color w:val="auto"/>
                <w:kern w:val="0"/>
                <w:szCs w:val="21"/>
              </w:rPr>
            </w:pPr>
            <w:r>
              <w:rPr>
                <w:rFonts w:ascii="Times New Roman" w:hAnsi="Times New Roman"/>
                <w:b/>
                <w:color w:val="auto"/>
                <w:kern w:val="0"/>
                <w:szCs w:val="21"/>
              </w:rPr>
              <w:t>评价结果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27" w:type="dxa"/>
            <w:vMerge w:val="restart"/>
            <w:shd w:val="clear" w:color="auto" w:fill="FFFFFF"/>
            <w:vAlign w:val="center"/>
          </w:tcPr>
          <w:p>
            <w:pPr>
              <w:jc w:val="center"/>
              <w:rPr>
                <w:rFonts w:ascii="Times New Roman" w:hAnsi="Times New Roman"/>
                <w:b/>
                <w:bCs/>
                <w:color w:val="auto"/>
                <w:kern w:val="0"/>
                <w:szCs w:val="21"/>
                <w:lang w:eastAsia="en-US"/>
              </w:rPr>
            </w:pPr>
            <w:r>
              <w:rPr>
                <w:rFonts w:ascii="Times New Roman" w:hAnsi="Times New Roman"/>
                <w:color w:val="auto"/>
                <w:kern w:val="0"/>
                <w:szCs w:val="21"/>
              </w:rPr>
              <w:t>绿色策划Q</w:t>
            </w:r>
            <w:r>
              <w:rPr>
                <w:rFonts w:ascii="Times New Roman" w:hAnsi="Times New Roman"/>
                <w:color w:val="auto"/>
                <w:kern w:val="0"/>
                <w:szCs w:val="21"/>
                <w:vertAlign w:val="subscript"/>
              </w:rPr>
              <w:t>1</w:t>
            </w:r>
          </w:p>
        </w:tc>
        <w:tc>
          <w:tcPr>
            <w:tcW w:w="1658" w:type="dxa"/>
            <w:shd w:val="clear" w:color="auto" w:fill="FFFFFF"/>
            <w:vAlign w:val="center"/>
          </w:tcPr>
          <w:p>
            <w:pPr>
              <w:jc w:val="center"/>
              <w:rPr>
                <w:rFonts w:ascii="Times New Roman" w:hAnsi="Times New Roman"/>
                <w:color w:val="auto"/>
                <w:kern w:val="0"/>
                <w:szCs w:val="21"/>
                <w:lang w:eastAsia="en-US"/>
              </w:rPr>
            </w:pPr>
            <w:r>
              <w:rPr>
                <w:rFonts w:ascii="Times New Roman" w:hAnsi="Times New Roman"/>
                <w:color w:val="auto"/>
                <w:kern w:val="0"/>
                <w:szCs w:val="21"/>
                <w:lang w:eastAsia="en-US"/>
              </w:rPr>
              <w:t>控制</w:t>
            </w:r>
            <w:r>
              <w:rPr>
                <w:rFonts w:ascii="Times New Roman" w:hAnsi="Times New Roman"/>
                <w:color w:val="auto"/>
                <w:kern w:val="0"/>
                <w:szCs w:val="21"/>
              </w:rPr>
              <w:t>项</w:t>
            </w:r>
          </w:p>
        </w:tc>
        <w:tc>
          <w:tcPr>
            <w:tcW w:w="3700" w:type="dxa"/>
            <w:shd w:val="clear" w:color="auto" w:fill="FFFFFF"/>
            <w:vAlign w:val="center"/>
          </w:tcPr>
          <w:p>
            <w:pPr>
              <w:jc w:val="center"/>
              <w:rPr>
                <w:rFonts w:ascii="Times New Roman" w:hAnsi="Times New Roman"/>
                <w:color w:val="auto"/>
                <w:kern w:val="0"/>
                <w:szCs w:val="21"/>
              </w:rPr>
            </w:pPr>
            <w:r>
              <w:rPr>
                <w:rFonts w:ascii="Times New Roman" w:hAnsi="Times New Roman"/>
                <w:color w:val="auto"/>
                <w:kern w:val="0"/>
                <w:szCs w:val="21"/>
                <w:lang w:eastAsia="en-US"/>
              </w:rPr>
              <w:t>全部满足</w:t>
            </w:r>
          </w:p>
        </w:tc>
        <w:tc>
          <w:tcPr>
            <w:tcW w:w="1661" w:type="dxa"/>
            <w:shd w:val="clear" w:color="auto" w:fill="FFFFFF"/>
            <w:vAlign w:val="center"/>
          </w:tcPr>
          <w:p>
            <w:pPr>
              <w:adjustRightInd w:val="0"/>
              <w:snapToGrid w:val="0"/>
              <w:spacing w:line="300" w:lineRule="exact"/>
              <w:jc w:val="center"/>
              <w:rPr>
                <w:rFonts w:ascii="Times New Roman" w:hAnsi="Times New Roman" w:eastAsia="宋体"/>
                <w:color w:val="auto"/>
                <w:kern w:val="0"/>
                <w:szCs w:val="21"/>
              </w:rPr>
            </w:pPr>
            <w:r>
              <w:rPr>
                <w:rFonts w:hint="eastAsia" w:ascii="宋体" w:hAnsi="宋体" w:eastAsia="宋体" w:cs="宋体"/>
                <w:color w:val="auto"/>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27" w:type="dxa"/>
            <w:vMerge w:val="continue"/>
            <w:shd w:val="clear" w:color="auto" w:fill="FFFFFF"/>
            <w:vAlign w:val="center"/>
          </w:tcPr>
          <w:p>
            <w:pPr>
              <w:jc w:val="center"/>
              <w:rPr>
                <w:rFonts w:ascii="Times New Roman" w:hAnsi="Times New Roman"/>
                <w:color w:val="auto"/>
                <w:kern w:val="0"/>
                <w:szCs w:val="21"/>
              </w:rPr>
            </w:pPr>
          </w:p>
        </w:tc>
        <w:tc>
          <w:tcPr>
            <w:tcW w:w="1658" w:type="dxa"/>
            <w:shd w:val="clear" w:color="auto" w:fill="FFFFFF"/>
            <w:vAlign w:val="center"/>
          </w:tcPr>
          <w:p>
            <w:pPr>
              <w:jc w:val="center"/>
              <w:rPr>
                <w:rFonts w:ascii="Times New Roman" w:hAnsi="Times New Roman"/>
                <w:color w:val="auto"/>
                <w:kern w:val="0"/>
                <w:szCs w:val="21"/>
              </w:rPr>
            </w:pPr>
            <w:r>
              <w:rPr>
                <w:rFonts w:ascii="Times New Roman" w:hAnsi="Times New Roman"/>
                <w:color w:val="auto"/>
                <w:kern w:val="0"/>
                <w:szCs w:val="21"/>
              </w:rPr>
              <w:t>一般项</w:t>
            </w:r>
          </w:p>
        </w:tc>
        <w:tc>
          <w:tcPr>
            <w:tcW w:w="3700" w:type="dxa"/>
            <w:shd w:val="clear" w:color="auto" w:fill="FFFFFF"/>
            <w:vAlign w:val="center"/>
          </w:tcPr>
          <w:p>
            <w:pPr>
              <w:jc w:val="center"/>
              <w:rPr>
                <w:rFonts w:ascii="Times New Roman" w:hAnsi="Times New Roman"/>
                <w:color w:val="auto"/>
                <w:kern w:val="0"/>
                <w:szCs w:val="21"/>
              </w:rPr>
            </w:pPr>
            <w:r>
              <w:rPr>
                <w:rFonts w:ascii="Times New Roman" w:hAnsi="Times New Roman"/>
                <w:color w:val="auto"/>
                <w:kern w:val="0"/>
                <w:szCs w:val="21"/>
              </w:rPr>
              <w:t>100分</w:t>
            </w:r>
          </w:p>
        </w:tc>
        <w:tc>
          <w:tcPr>
            <w:tcW w:w="1661" w:type="dxa"/>
            <w:shd w:val="clear" w:color="auto" w:fill="FFFFFF"/>
            <w:vAlign w:val="center"/>
          </w:tcPr>
          <w:p>
            <w:pPr>
              <w:jc w:val="center"/>
              <w:rPr>
                <w:rFonts w:ascii="Times New Roman" w:hAnsi="Times New Roman"/>
                <w:b/>
                <w:color w:val="auto"/>
                <w:kern w:val="0"/>
                <w:szCs w:val="21"/>
              </w:rPr>
            </w:pPr>
            <w:r>
              <w:rPr>
                <w:rFonts w:ascii="Times New Roman" w:hAnsi="Times New Roman"/>
                <w:color w:val="auto"/>
                <w:kern w:val="0"/>
                <w:szCs w:val="21"/>
              </w:rPr>
              <w:t>（）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27" w:type="dxa"/>
            <w:vMerge w:val="restart"/>
            <w:vAlign w:val="center"/>
          </w:tcPr>
          <w:p>
            <w:pPr>
              <w:jc w:val="center"/>
              <w:rPr>
                <w:rFonts w:ascii="Times New Roman" w:hAnsi="Times New Roman"/>
                <w:color w:val="auto"/>
                <w:kern w:val="0"/>
                <w:szCs w:val="21"/>
              </w:rPr>
            </w:pPr>
            <w:r>
              <w:rPr>
                <w:rFonts w:ascii="Times New Roman" w:hAnsi="Times New Roman"/>
                <w:color w:val="auto"/>
                <w:kern w:val="0"/>
                <w:szCs w:val="21"/>
              </w:rPr>
              <w:t>绿色设计Q</w:t>
            </w:r>
            <w:r>
              <w:rPr>
                <w:rFonts w:ascii="Times New Roman" w:hAnsi="Times New Roman"/>
                <w:color w:val="auto"/>
                <w:kern w:val="0"/>
                <w:szCs w:val="21"/>
                <w:vertAlign w:val="subscript"/>
              </w:rPr>
              <w:t>2</w:t>
            </w:r>
          </w:p>
        </w:tc>
        <w:tc>
          <w:tcPr>
            <w:tcW w:w="1658" w:type="dxa"/>
            <w:vAlign w:val="center"/>
          </w:tcPr>
          <w:p>
            <w:pPr>
              <w:jc w:val="center"/>
              <w:rPr>
                <w:rFonts w:ascii="Times New Roman" w:hAnsi="Times New Roman"/>
                <w:color w:val="auto"/>
                <w:kern w:val="0"/>
                <w:szCs w:val="21"/>
                <w:lang w:eastAsia="en-US"/>
              </w:rPr>
            </w:pPr>
            <w:r>
              <w:rPr>
                <w:rFonts w:ascii="Times New Roman" w:hAnsi="Times New Roman"/>
                <w:color w:val="auto"/>
                <w:kern w:val="0"/>
                <w:szCs w:val="21"/>
                <w:lang w:eastAsia="en-US"/>
              </w:rPr>
              <w:t>控制</w:t>
            </w:r>
            <w:r>
              <w:rPr>
                <w:rFonts w:ascii="Times New Roman" w:hAnsi="Times New Roman"/>
                <w:color w:val="auto"/>
                <w:kern w:val="0"/>
                <w:szCs w:val="21"/>
              </w:rPr>
              <w:t>项</w:t>
            </w:r>
          </w:p>
        </w:tc>
        <w:tc>
          <w:tcPr>
            <w:tcW w:w="3700" w:type="dxa"/>
            <w:vAlign w:val="center"/>
          </w:tcPr>
          <w:p>
            <w:pPr>
              <w:jc w:val="center"/>
              <w:rPr>
                <w:rFonts w:ascii="Times New Roman" w:hAnsi="Times New Roman"/>
                <w:color w:val="auto"/>
                <w:kern w:val="0"/>
                <w:szCs w:val="21"/>
              </w:rPr>
            </w:pPr>
            <w:r>
              <w:rPr>
                <w:rFonts w:ascii="Times New Roman" w:hAnsi="Times New Roman"/>
                <w:color w:val="auto"/>
                <w:kern w:val="0"/>
                <w:szCs w:val="21"/>
                <w:lang w:eastAsia="en-US"/>
              </w:rPr>
              <w:t>全部满足</w:t>
            </w:r>
          </w:p>
        </w:tc>
        <w:tc>
          <w:tcPr>
            <w:tcW w:w="1661" w:type="dxa"/>
            <w:vAlign w:val="center"/>
          </w:tcPr>
          <w:p>
            <w:pPr>
              <w:jc w:val="center"/>
              <w:rPr>
                <w:rFonts w:ascii="Times New Roman" w:hAnsi="Times New Roman"/>
                <w:color w:val="auto"/>
                <w:kern w:val="0"/>
                <w:szCs w:val="21"/>
              </w:rPr>
            </w:pPr>
            <w:r>
              <w:rPr>
                <w:rFonts w:hint="eastAsia" w:ascii="宋体" w:hAnsi="宋体" w:eastAsia="宋体" w:cs="宋体"/>
                <w:color w:val="auto"/>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27" w:type="dxa"/>
            <w:vMerge w:val="continue"/>
            <w:vAlign w:val="center"/>
          </w:tcPr>
          <w:p>
            <w:pPr>
              <w:jc w:val="center"/>
              <w:rPr>
                <w:rFonts w:ascii="Times New Roman" w:hAnsi="Times New Roman"/>
                <w:color w:val="auto"/>
                <w:kern w:val="0"/>
                <w:szCs w:val="21"/>
              </w:rPr>
            </w:pPr>
          </w:p>
        </w:tc>
        <w:tc>
          <w:tcPr>
            <w:tcW w:w="1658" w:type="dxa"/>
            <w:vAlign w:val="center"/>
          </w:tcPr>
          <w:p>
            <w:pPr>
              <w:jc w:val="center"/>
              <w:rPr>
                <w:rFonts w:ascii="Times New Roman" w:hAnsi="Times New Roman"/>
                <w:color w:val="auto"/>
                <w:kern w:val="0"/>
                <w:szCs w:val="21"/>
                <w:lang w:eastAsia="en-US"/>
              </w:rPr>
            </w:pPr>
            <w:r>
              <w:rPr>
                <w:rFonts w:ascii="Times New Roman" w:hAnsi="Times New Roman"/>
                <w:color w:val="auto"/>
                <w:kern w:val="0"/>
                <w:szCs w:val="21"/>
                <w:lang w:eastAsia="en-US"/>
              </w:rPr>
              <w:t>一般项</w:t>
            </w:r>
          </w:p>
        </w:tc>
        <w:tc>
          <w:tcPr>
            <w:tcW w:w="3700" w:type="dxa"/>
            <w:vAlign w:val="center"/>
          </w:tcPr>
          <w:p>
            <w:pPr>
              <w:jc w:val="center"/>
              <w:rPr>
                <w:rFonts w:ascii="Times New Roman" w:hAnsi="Times New Roman"/>
                <w:color w:val="auto"/>
                <w:kern w:val="0"/>
                <w:szCs w:val="21"/>
              </w:rPr>
            </w:pPr>
            <w:r>
              <w:rPr>
                <w:rFonts w:ascii="Times New Roman" w:hAnsi="Times New Roman"/>
                <w:color w:val="auto"/>
                <w:kern w:val="0"/>
                <w:szCs w:val="21"/>
              </w:rPr>
              <w:t>100分</w:t>
            </w:r>
          </w:p>
        </w:tc>
        <w:tc>
          <w:tcPr>
            <w:tcW w:w="1661" w:type="dxa"/>
            <w:vAlign w:val="center"/>
          </w:tcPr>
          <w:p>
            <w:pPr>
              <w:jc w:val="center"/>
              <w:rPr>
                <w:rFonts w:ascii="Times New Roman" w:hAnsi="Times New Roman"/>
                <w:color w:val="auto"/>
                <w:kern w:val="0"/>
                <w:szCs w:val="21"/>
              </w:rPr>
            </w:pPr>
            <w:r>
              <w:rPr>
                <w:rFonts w:ascii="Times New Roman" w:hAnsi="Times New Roman"/>
                <w:color w:val="auto"/>
                <w:kern w:val="0"/>
                <w:szCs w:val="21"/>
              </w:rPr>
              <w:t>（）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27" w:type="dxa"/>
            <w:vMerge w:val="restart"/>
            <w:vAlign w:val="center"/>
          </w:tcPr>
          <w:p>
            <w:pPr>
              <w:jc w:val="center"/>
              <w:rPr>
                <w:rFonts w:ascii="Times New Roman" w:hAnsi="Times New Roman"/>
                <w:color w:val="auto"/>
                <w:kern w:val="0"/>
                <w:szCs w:val="21"/>
              </w:rPr>
            </w:pPr>
            <w:r>
              <w:rPr>
                <w:rFonts w:ascii="Times New Roman" w:hAnsi="Times New Roman"/>
                <w:color w:val="auto"/>
                <w:kern w:val="0"/>
                <w:szCs w:val="21"/>
              </w:rPr>
              <w:t>绿色施工Q</w:t>
            </w:r>
            <w:r>
              <w:rPr>
                <w:rFonts w:ascii="Times New Roman" w:hAnsi="Times New Roman"/>
                <w:color w:val="auto"/>
                <w:kern w:val="0"/>
                <w:szCs w:val="21"/>
                <w:vertAlign w:val="subscript"/>
              </w:rPr>
              <w:t>3</w:t>
            </w:r>
          </w:p>
        </w:tc>
        <w:tc>
          <w:tcPr>
            <w:tcW w:w="1658" w:type="dxa"/>
            <w:vAlign w:val="center"/>
          </w:tcPr>
          <w:p>
            <w:pPr>
              <w:jc w:val="center"/>
              <w:rPr>
                <w:rFonts w:ascii="Times New Roman" w:hAnsi="Times New Roman"/>
                <w:color w:val="auto"/>
                <w:kern w:val="0"/>
                <w:szCs w:val="21"/>
                <w:lang w:eastAsia="en-US"/>
              </w:rPr>
            </w:pPr>
            <w:r>
              <w:rPr>
                <w:rFonts w:ascii="Times New Roman" w:hAnsi="Times New Roman"/>
                <w:color w:val="auto"/>
                <w:kern w:val="0"/>
                <w:szCs w:val="21"/>
                <w:lang w:eastAsia="en-US"/>
              </w:rPr>
              <w:t>控制</w:t>
            </w:r>
            <w:r>
              <w:rPr>
                <w:rFonts w:ascii="Times New Roman" w:hAnsi="Times New Roman"/>
                <w:color w:val="auto"/>
                <w:kern w:val="0"/>
                <w:szCs w:val="21"/>
              </w:rPr>
              <w:t>项</w:t>
            </w:r>
          </w:p>
        </w:tc>
        <w:tc>
          <w:tcPr>
            <w:tcW w:w="3700" w:type="dxa"/>
            <w:vAlign w:val="center"/>
          </w:tcPr>
          <w:p>
            <w:pPr>
              <w:jc w:val="center"/>
              <w:rPr>
                <w:rFonts w:ascii="Times New Roman" w:hAnsi="Times New Roman"/>
                <w:color w:val="auto"/>
                <w:kern w:val="0"/>
                <w:szCs w:val="21"/>
              </w:rPr>
            </w:pPr>
            <w:r>
              <w:rPr>
                <w:rFonts w:ascii="Times New Roman" w:hAnsi="Times New Roman"/>
                <w:color w:val="auto"/>
                <w:kern w:val="0"/>
                <w:szCs w:val="21"/>
              </w:rPr>
              <w:t>全部满足</w:t>
            </w:r>
          </w:p>
        </w:tc>
        <w:tc>
          <w:tcPr>
            <w:tcW w:w="1661" w:type="dxa"/>
            <w:vAlign w:val="center"/>
          </w:tcPr>
          <w:p>
            <w:pPr>
              <w:jc w:val="center"/>
              <w:rPr>
                <w:rFonts w:ascii="Times New Roman" w:hAnsi="Times New Roman"/>
                <w:color w:val="auto"/>
                <w:kern w:val="0"/>
                <w:szCs w:val="21"/>
              </w:rPr>
            </w:pPr>
            <w:r>
              <w:rPr>
                <w:rFonts w:hint="eastAsia" w:ascii="宋体" w:hAnsi="宋体" w:eastAsia="宋体" w:cs="宋体"/>
                <w:color w:val="auto"/>
                <w:szCs w:val="21"/>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27" w:type="dxa"/>
            <w:vMerge w:val="continue"/>
            <w:vAlign w:val="center"/>
          </w:tcPr>
          <w:p>
            <w:pPr>
              <w:jc w:val="center"/>
              <w:rPr>
                <w:rFonts w:ascii="Times New Roman" w:hAnsi="Times New Roman"/>
                <w:color w:val="auto"/>
                <w:kern w:val="0"/>
                <w:szCs w:val="21"/>
              </w:rPr>
            </w:pPr>
          </w:p>
        </w:tc>
        <w:tc>
          <w:tcPr>
            <w:tcW w:w="1658" w:type="dxa"/>
            <w:vAlign w:val="center"/>
          </w:tcPr>
          <w:p>
            <w:pPr>
              <w:jc w:val="center"/>
              <w:rPr>
                <w:rFonts w:ascii="Times New Roman" w:hAnsi="Times New Roman"/>
                <w:color w:val="auto"/>
                <w:kern w:val="0"/>
                <w:szCs w:val="21"/>
                <w:lang w:eastAsia="en-US"/>
              </w:rPr>
            </w:pPr>
            <w:r>
              <w:rPr>
                <w:rFonts w:ascii="Times New Roman" w:hAnsi="Times New Roman"/>
                <w:color w:val="auto"/>
                <w:kern w:val="0"/>
                <w:szCs w:val="21"/>
                <w:lang w:eastAsia="en-US"/>
              </w:rPr>
              <w:t>一般项</w:t>
            </w:r>
          </w:p>
        </w:tc>
        <w:tc>
          <w:tcPr>
            <w:tcW w:w="3700" w:type="dxa"/>
            <w:vAlign w:val="center"/>
          </w:tcPr>
          <w:p>
            <w:pPr>
              <w:jc w:val="center"/>
              <w:rPr>
                <w:rFonts w:ascii="Times New Roman" w:hAnsi="Times New Roman"/>
                <w:color w:val="auto"/>
                <w:kern w:val="0"/>
                <w:szCs w:val="21"/>
              </w:rPr>
            </w:pPr>
            <w:r>
              <w:rPr>
                <w:rFonts w:hint="eastAsia" w:ascii="Times New Roman" w:hAnsi="Times New Roman"/>
                <w:color w:val="auto"/>
                <w:kern w:val="0"/>
                <w:szCs w:val="21"/>
              </w:rPr>
              <w:t>100</w:t>
            </w:r>
            <w:r>
              <w:rPr>
                <w:rFonts w:ascii="Times New Roman" w:hAnsi="Times New Roman"/>
                <w:color w:val="auto"/>
                <w:kern w:val="0"/>
                <w:szCs w:val="21"/>
              </w:rPr>
              <w:t>分</w:t>
            </w:r>
          </w:p>
        </w:tc>
        <w:tc>
          <w:tcPr>
            <w:tcW w:w="1661" w:type="dxa"/>
            <w:vAlign w:val="center"/>
          </w:tcPr>
          <w:p>
            <w:pPr>
              <w:jc w:val="center"/>
              <w:rPr>
                <w:rFonts w:ascii="Times New Roman" w:hAnsi="Times New Roman"/>
                <w:color w:val="auto"/>
                <w:kern w:val="0"/>
                <w:szCs w:val="21"/>
              </w:rPr>
            </w:pPr>
            <w:r>
              <w:rPr>
                <w:rFonts w:ascii="Times New Roman" w:hAnsi="Times New Roman"/>
                <w:color w:val="auto"/>
                <w:kern w:val="0"/>
                <w:szCs w:val="21"/>
              </w:rPr>
              <w:t>（）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985" w:type="dxa"/>
            <w:gridSpan w:val="2"/>
            <w:vAlign w:val="center"/>
          </w:tcPr>
          <w:p>
            <w:pPr>
              <w:jc w:val="center"/>
              <w:rPr>
                <w:rFonts w:ascii="Times New Roman" w:hAnsi="Times New Roman"/>
                <w:color w:val="auto"/>
                <w:kern w:val="0"/>
                <w:szCs w:val="21"/>
              </w:rPr>
            </w:pPr>
            <w:r>
              <w:rPr>
                <w:rFonts w:ascii="Times New Roman" w:hAnsi="Times New Roman"/>
                <w:color w:val="auto"/>
                <w:kern w:val="0"/>
                <w:szCs w:val="21"/>
                <w:lang w:eastAsia="en-US"/>
              </w:rPr>
              <w:t>合计</w:t>
            </w:r>
            <w:r>
              <w:rPr>
                <w:rFonts w:ascii="Times New Roman" w:hAnsi="Times New Roman"/>
                <w:color w:val="auto"/>
                <w:kern w:val="0"/>
                <w:szCs w:val="21"/>
              </w:rPr>
              <w:t>（一般项）</w:t>
            </w:r>
          </w:p>
        </w:tc>
        <w:tc>
          <w:tcPr>
            <w:tcW w:w="3700" w:type="dxa"/>
            <w:vAlign w:val="center"/>
          </w:tcPr>
          <w:p>
            <w:pPr>
              <w:jc w:val="center"/>
              <w:rPr>
                <w:rFonts w:ascii="Times New Roman" w:hAnsi="Times New Roman"/>
                <w:color w:val="auto"/>
                <w:kern w:val="0"/>
                <w:szCs w:val="21"/>
              </w:rPr>
            </w:pPr>
            <w:r>
              <w:rPr>
                <w:rFonts w:ascii="Times New Roman" w:hAnsi="Times New Roman"/>
                <w:color w:val="auto"/>
                <w:kern w:val="0"/>
                <w:szCs w:val="21"/>
              </w:rPr>
              <w:t>各部分乘以权重</w:t>
            </w:r>
          </w:p>
        </w:tc>
        <w:tc>
          <w:tcPr>
            <w:tcW w:w="1661" w:type="dxa"/>
            <w:vAlign w:val="center"/>
          </w:tcPr>
          <w:p>
            <w:pPr>
              <w:jc w:val="center"/>
              <w:rPr>
                <w:rFonts w:ascii="Times New Roman" w:hAnsi="Times New Roman"/>
                <w:color w:val="auto"/>
                <w:kern w:val="0"/>
                <w:szCs w:val="21"/>
              </w:rPr>
            </w:pPr>
            <w:r>
              <w:rPr>
                <w:rFonts w:ascii="Times New Roman" w:hAnsi="Times New Roman"/>
                <w:color w:val="auto"/>
                <w:kern w:val="0"/>
                <w:szCs w:val="21"/>
              </w:rPr>
              <w:t>（）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985" w:type="dxa"/>
            <w:gridSpan w:val="2"/>
            <w:vAlign w:val="center"/>
          </w:tcPr>
          <w:p>
            <w:pPr>
              <w:jc w:val="center"/>
              <w:rPr>
                <w:rFonts w:ascii="Times New Roman" w:hAnsi="Times New Roman"/>
                <w:color w:val="auto"/>
                <w:kern w:val="0"/>
                <w:szCs w:val="21"/>
              </w:rPr>
            </w:pPr>
            <w:r>
              <w:rPr>
                <w:rFonts w:ascii="Times New Roman" w:hAnsi="Times New Roman"/>
                <w:color w:val="auto"/>
                <w:kern w:val="0"/>
                <w:szCs w:val="21"/>
                <w:lang w:eastAsia="en-US"/>
              </w:rPr>
              <w:t>合计</w:t>
            </w:r>
            <w:r>
              <w:rPr>
                <w:rFonts w:hint="eastAsia" w:ascii="Times New Roman" w:hAnsi="Times New Roman"/>
                <w:color w:val="auto"/>
                <w:kern w:val="0"/>
                <w:szCs w:val="21"/>
              </w:rPr>
              <w:t>（</w:t>
            </w:r>
            <w:r>
              <w:rPr>
                <w:rFonts w:ascii="Times New Roman" w:hAnsi="Times New Roman"/>
                <w:color w:val="auto"/>
                <w:kern w:val="0"/>
                <w:szCs w:val="21"/>
              </w:rPr>
              <w:t>优选项</w:t>
            </w:r>
            <w:r>
              <w:rPr>
                <w:rFonts w:hint="eastAsia" w:ascii="Times New Roman" w:hAnsi="Times New Roman"/>
                <w:color w:val="auto"/>
                <w:kern w:val="0"/>
                <w:szCs w:val="21"/>
              </w:rPr>
              <w:t>）</w:t>
            </w:r>
          </w:p>
        </w:tc>
        <w:tc>
          <w:tcPr>
            <w:tcW w:w="3700" w:type="dxa"/>
            <w:vAlign w:val="center"/>
          </w:tcPr>
          <w:p>
            <w:pPr>
              <w:jc w:val="center"/>
              <w:rPr>
                <w:rFonts w:ascii="Times New Roman" w:hAnsi="Times New Roman"/>
                <w:color w:val="auto"/>
                <w:kern w:val="0"/>
                <w:szCs w:val="21"/>
              </w:rPr>
            </w:pPr>
            <w:r>
              <w:rPr>
                <w:rFonts w:ascii="Times New Roman" w:hAnsi="Times New Roman"/>
                <w:color w:val="auto"/>
                <w:kern w:val="0"/>
                <w:szCs w:val="21"/>
              </w:rPr>
              <w:t>不乘以权重</w:t>
            </w:r>
          </w:p>
        </w:tc>
        <w:tc>
          <w:tcPr>
            <w:tcW w:w="1661" w:type="dxa"/>
            <w:vAlign w:val="center"/>
          </w:tcPr>
          <w:p>
            <w:pPr>
              <w:jc w:val="center"/>
              <w:rPr>
                <w:rFonts w:ascii="Times New Roman" w:hAnsi="Times New Roman"/>
                <w:color w:val="auto"/>
                <w:kern w:val="0"/>
                <w:szCs w:val="21"/>
              </w:rPr>
            </w:pPr>
            <w:r>
              <w:rPr>
                <w:rFonts w:ascii="Times New Roman" w:hAnsi="Times New Roman"/>
                <w:color w:val="auto"/>
                <w:kern w:val="0"/>
                <w:szCs w:val="21"/>
              </w:rPr>
              <w:t>（）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685" w:type="dxa"/>
            <w:gridSpan w:val="3"/>
            <w:vAlign w:val="center"/>
          </w:tcPr>
          <w:p>
            <w:pPr>
              <w:jc w:val="center"/>
              <w:rPr>
                <w:rFonts w:ascii="Times New Roman" w:hAnsi="Times New Roman"/>
                <w:color w:val="auto"/>
                <w:kern w:val="0"/>
                <w:szCs w:val="21"/>
              </w:rPr>
            </w:pPr>
            <w:r>
              <w:rPr>
                <w:rFonts w:ascii="Times New Roman" w:hAnsi="Times New Roman"/>
                <w:color w:val="auto"/>
                <w:kern w:val="0"/>
                <w:szCs w:val="21"/>
                <w:lang w:eastAsia="en-US"/>
              </w:rPr>
              <w:t>合计得分</w:t>
            </w:r>
          </w:p>
        </w:tc>
        <w:tc>
          <w:tcPr>
            <w:tcW w:w="1661" w:type="dxa"/>
            <w:vAlign w:val="center"/>
          </w:tcPr>
          <w:p>
            <w:pPr>
              <w:jc w:val="center"/>
              <w:rPr>
                <w:rFonts w:ascii="Times New Roman" w:hAnsi="Times New Roman"/>
                <w:color w:val="auto"/>
                <w:kern w:val="0"/>
                <w:szCs w:val="21"/>
              </w:rPr>
            </w:pPr>
            <w:r>
              <w:rPr>
                <w:rFonts w:ascii="Times New Roman" w:hAnsi="Times New Roman"/>
                <w:color w:val="auto"/>
                <w:kern w:val="0"/>
                <w:szCs w:val="21"/>
              </w:rPr>
              <w:t>（）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685" w:type="dxa"/>
            <w:gridSpan w:val="3"/>
            <w:vAlign w:val="center"/>
          </w:tcPr>
          <w:p>
            <w:pPr>
              <w:jc w:val="center"/>
              <w:rPr>
                <w:rFonts w:ascii="Times New Roman" w:hAnsi="Times New Roman"/>
                <w:color w:val="auto"/>
                <w:kern w:val="0"/>
                <w:szCs w:val="21"/>
                <w:lang w:eastAsia="en-US"/>
              </w:rPr>
            </w:pPr>
            <w:r>
              <w:rPr>
                <w:rFonts w:ascii="Times New Roman" w:hAnsi="Times New Roman"/>
                <w:color w:val="auto"/>
                <w:kern w:val="0"/>
                <w:szCs w:val="21"/>
                <w:lang w:eastAsia="en-US"/>
              </w:rPr>
              <w:t>绿色建造评价等级</w:t>
            </w:r>
          </w:p>
        </w:tc>
        <w:tc>
          <w:tcPr>
            <w:tcW w:w="1661" w:type="dxa"/>
            <w:vAlign w:val="center"/>
          </w:tcPr>
          <w:p>
            <w:pPr>
              <w:jc w:val="center"/>
              <w:rPr>
                <w:rFonts w:ascii="Times New Roman" w:hAnsi="Times New Roman"/>
                <w:color w:val="auto"/>
                <w:kern w:val="0"/>
                <w:szCs w:val="21"/>
              </w:rPr>
            </w:pPr>
            <w:r>
              <w:rPr>
                <w:rFonts w:ascii="Times New Roman" w:hAnsi="Times New Roman"/>
                <w:color w:val="auto"/>
                <w:kern w:val="0"/>
                <w:szCs w:val="21"/>
              </w:rPr>
              <w:t>（）等成果</w:t>
            </w:r>
          </w:p>
        </w:tc>
      </w:tr>
    </w:tbl>
    <w:p>
      <w:pPr>
        <w:spacing w:line="360" w:lineRule="auto"/>
        <w:jc w:val="left"/>
        <w:rPr>
          <w:rFonts w:ascii="方正仿宋简体" w:hAnsi="方正仿宋简体" w:eastAsia="方正仿宋简体" w:cs="方正仿宋简体"/>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Lucida Console">
    <w:panose1 w:val="020B0609040504020204"/>
    <w:charset w:val="00"/>
    <w:family w:val="modern"/>
    <w:pitch w:val="default"/>
    <w:sig w:usb0="8000028F" w:usb1="00001800" w:usb2="00000000" w:usb3="00000000" w:csb0="0000001F" w:csb1="D7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E4B2D6"/>
    <w:multiLevelType w:val="singleLevel"/>
    <w:tmpl w:val="F0E4B2D6"/>
    <w:lvl w:ilvl="0" w:tentative="0">
      <w:start w:val="25"/>
      <w:numFmt w:val="upperLetter"/>
      <w:suff w:val="nothing"/>
      <w:lvlText w:val="%1-"/>
      <w:lvlJc w:val="left"/>
    </w:lvl>
  </w:abstractNum>
  <w:abstractNum w:abstractNumId="1">
    <w:nsid w:val="444935E1"/>
    <w:multiLevelType w:val="singleLevel"/>
    <w:tmpl w:val="444935E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iNzA1MmM1ZTMwNjVmMGNhMDcyMDRmOTg1YTdjMWMifQ=="/>
  </w:docVars>
  <w:rsids>
    <w:rsidRoot w:val="11D0352A"/>
    <w:rsid w:val="000453CA"/>
    <w:rsid w:val="000668C4"/>
    <w:rsid w:val="00067923"/>
    <w:rsid w:val="000C7A24"/>
    <w:rsid w:val="000E0AA9"/>
    <w:rsid w:val="000E15CF"/>
    <w:rsid w:val="000E1989"/>
    <w:rsid w:val="000E294C"/>
    <w:rsid w:val="000E3A38"/>
    <w:rsid w:val="000E4727"/>
    <w:rsid w:val="000F408C"/>
    <w:rsid w:val="00101766"/>
    <w:rsid w:val="00101A7D"/>
    <w:rsid w:val="00106753"/>
    <w:rsid w:val="00112D8A"/>
    <w:rsid w:val="00114D6F"/>
    <w:rsid w:val="00122830"/>
    <w:rsid w:val="00135C28"/>
    <w:rsid w:val="001752FC"/>
    <w:rsid w:val="001B4FEA"/>
    <w:rsid w:val="001D0FD2"/>
    <w:rsid w:val="001E51F3"/>
    <w:rsid w:val="001F4BC3"/>
    <w:rsid w:val="001F7F55"/>
    <w:rsid w:val="002011F4"/>
    <w:rsid w:val="00203910"/>
    <w:rsid w:val="00206123"/>
    <w:rsid w:val="00226ECB"/>
    <w:rsid w:val="0023545C"/>
    <w:rsid w:val="002704C0"/>
    <w:rsid w:val="002A5C7D"/>
    <w:rsid w:val="002D6224"/>
    <w:rsid w:val="0032053C"/>
    <w:rsid w:val="00326298"/>
    <w:rsid w:val="00345D97"/>
    <w:rsid w:val="00351F67"/>
    <w:rsid w:val="003926E2"/>
    <w:rsid w:val="003D031F"/>
    <w:rsid w:val="003D0D8B"/>
    <w:rsid w:val="00400A50"/>
    <w:rsid w:val="00433ED1"/>
    <w:rsid w:val="004811A3"/>
    <w:rsid w:val="004B6F61"/>
    <w:rsid w:val="004D21CD"/>
    <w:rsid w:val="004D3E3A"/>
    <w:rsid w:val="004F49CB"/>
    <w:rsid w:val="004F7C7A"/>
    <w:rsid w:val="00516001"/>
    <w:rsid w:val="00521747"/>
    <w:rsid w:val="00533722"/>
    <w:rsid w:val="00535E0A"/>
    <w:rsid w:val="00540C84"/>
    <w:rsid w:val="00551BE7"/>
    <w:rsid w:val="005A4EC2"/>
    <w:rsid w:val="005A6E80"/>
    <w:rsid w:val="005D5E99"/>
    <w:rsid w:val="00620AAC"/>
    <w:rsid w:val="00632FC6"/>
    <w:rsid w:val="00652847"/>
    <w:rsid w:val="006556E2"/>
    <w:rsid w:val="006631C3"/>
    <w:rsid w:val="00683D44"/>
    <w:rsid w:val="00695283"/>
    <w:rsid w:val="006C1AF7"/>
    <w:rsid w:val="006D6C6D"/>
    <w:rsid w:val="007110B2"/>
    <w:rsid w:val="007261A0"/>
    <w:rsid w:val="007515CB"/>
    <w:rsid w:val="00766593"/>
    <w:rsid w:val="007736CE"/>
    <w:rsid w:val="00780F8E"/>
    <w:rsid w:val="0078153A"/>
    <w:rsid w:val="007832DE"/>
    <w:rsid w:val="00784F25"/>
    <w:rsid w:val="00790571"/>
    <w:rsid w:val="00795D0D"/>
    <w:rsid w:val="007B52A4"/>
    <w:rsid w:val="007C7345"/>
    <w:rsid w:val="007D4549"/>
    <w:rsid w:val="007E3904"/>
    <w:rsid w:val="00853838"/>
    <w:rsid w:val="008742B7"/>
    <w:rsid w:val="00874430"/>
    <w:rsid w:val="00876BB5"/>
    <w:rsid w:val="0088071D"/>
    <w:rsid w:val="00886FB8"/>
    <w:rsid w:val="008906C5"/>
    <w:rsid w:val="008936A9"/>
    <w:rsid w:val="008A0E69"/>
    <w:rsid w:val="008B6A40"/>
    <w:rsid w:val="008E04B3"/>
    <w:rsid w:val="008F2F68"/>
    <w:rsid w:val="009006DC"/>
    <w:rsid w:val="00902280"/>
    <w:rsid w:val="00926809"/>
    <w:rsid w:val="00946FBE"/>
    <w:rsid w:val="0095069C"/>
    <w:rsid w:val="009C70FD"/>
    <w:rsid w:val="009D4227"/>
    <w:rsid w:val="009E39A4"/>
    <w:rsid w:val="00A10102"/>
    <w:rsid w:val="00A1046D"/>
    <w:rsid w:val="00A22AED"/>
    <w:rsid w:val="00A403DD"/>
    <w:rsid w:val="00A45FEA"/>
    <w:rsid w:val="00A50CA4"/>
    <w:rsid w:val="00A62F4C"/>
    <w:rsid w:val="00A90486"/>
    <w:rsid w:val="00A97A0B"/>
    <w:rsid w:val="00AA05E5"/>
    <w:rsid w:val="00AB0472"/>
    <w:rsid w:val="00AC355D"/>
    <w:rsid w:val="00AD405A"/>
    <w:rsid w:val="00AF019B"/>
    <w:rsid w:val="00AF18BA"/>
    <w:rsid w:val="00B02981"/>
    <w:rsid w:val="00B11F64"/>
    <w:rsid w:val="00B21E00"/>
    <w:rsid w:val="00B80F04"/>
    <w:rsid w:val="00BE5927"/>
    <w:rsid w:val="00BE5A1D"/>
    <w:rsid w:val="00C00D45"/>
    <w:rsid w:val="00C0729D"/>
    <w:rsid w:val="00C41F49"/>
    <w:rsid w:val="00C66B22"/>
    <w:rsid w:val="00C67672"/>
    <w:rsid w:val="00CD466A"/>
    <w:rsid w:val="00CE1250"/>
    <w:rsid w:val="00CF6AA6"/>
    <w:rsid w:val="00D034A9"/>
    <w:rsid w:val="00D472D1"/>
    <w:rsid w:val="00D52EDF"/>
    <w:rsid w:val="00D71A2F"/>
    <w:rsid w:val="00D91BFE"/>
    <w:rsid w:val="00D945AE"/>
    <w:rsid w:val="00D946E8"/>
    <w:rsid w:val="00DA7668"/>
    <w:rsid w:val="00DC2C53"/>
    <w:rsid w:val="00DD1E99"/>
    <w:rsid w:val="00DF6F14"/>
    <w:rsid w:val="00E25C70"/>
    <w:rsid w:val="00E262B9"/>
    <w:rsid w:val="00E636DF"/>
    <w:rsid w:val="00E650DE"/>
    <w:rsid w:val="00E80851"/>
    <w:rsid w:val="00E92A9D"/>
    <w:rsid w:val="00EC099F"/>
    <w:rsid w:val="00EC2B77"/>
    <w:rsid w:val="00EC67AA"/>
    <w:rsid w:val="00EC6C0F"/>
    <w:rsid w:val="00EF00ED"/>
    <w:rsid w:val="00F10E4F"/>
    <w:rsid w:val="00F20D7C"/>
    <w:rsid w:val="00F26029"/>
    <w:rsid w:val="00F330FB"/>
    <w:rsid w:val="00F33D29"/>
    <w:rsid w:val="00F50BEC"/>
    <w:rsid w:val="00F62A04"/>
    <w:rsid w:val="00F73BC9"/>
    <w:rsid w:val="00F809BA"/>
    <w:rsid w:val="00F8588F"/>
    <w:rsid w:val="00F9264F"/>
    <w:rsid w:val="00FA7D9E"/>
    <w:rsid w:val="00FB224C"/>
    <w:rsid w:val="00FD33BB"/>
    <w:rsid w:val="00FE3718"/>
    <w:rsid w:val="00FF7C8D"/>
    <w:rsid w:val="01011640"/>
    <w:rsid w:val="011D7EC3"/>
    <w:rsid w:val="02A52A95"/>
    <w:rsid w:val="02C35FDA"/>
    <w:rsid w:val="04B6554C"/>
    <w:rsid w:val="04BC311F"/>
    <w:rsid w:val="05016069"/>
    <w:rsid w:val="05181CB2"/>
    <w:rsid w:val="05545799"/>
    <w:rsid w:val="058B308F"/>
    <w:rsid w:val="060B0898"/>
    <w:rsid w:val="06621073"/>
    <w:rsid w:val="06A00343"/>
    <w:rsid w:val="06CE040A"/>
    <w:rsid w:val="07543DE4"/>
    <w:rsid w:val="075D7833"/>
    <w:rsid w:val="080E7369"/>
    <w:rsid w:val="081F112B"/>
    <w:rsid w:val="0820740A"/>
    <w:rsid w:val="08586A1F"/>
    <w:rsid w:val="09D04B87"/>
    <w:rsid w:val="0A13201C"/>
    <w:rsid w:val="0BA56877"/>
    <w:rsid w:val="0BAF2B6D"/>
    <w:rsid w:val="0D5F7E5E"/>
    <w:rsid w:val="0DEA03C0"/>
    <w:rsid w:val="0E7A3AFC"/>
    <w:rsid w:val="0ED06759"/>
    <w:rsid w:val="0EF178D8"/>
    <w:rsid w:val="0F3004E8"/>
    <w:rsid w:val="0FA81845"/>
    <w:rsid w:val="10467619"/>
    <w:rsid w:val="1089639F"/>
    <w:rsid w:val="10CA3E05"/>
    <w:rsid w:val="10D73FC9"/>
    <w:rsid w:val="113D0733"/>
    <w:rsid w:val="1154595C"/>
    <w:rsid w:val="11903411"/>
    <w:rsid w:val="11D0352A"/>
    <w:rsid w:val="11E84459"/>
    <w:rsid w:val="12735057"/>
    <w:rsid w:val="12C76A12"/>
    <w:rsid w:val="13137393"/>
    <w:rsid w:val="132D0805"/>
    <w:rsid w:val="13760A27"/>
    <w:rsid w:val="13D25043"/>
    <w:rsid w:val="140E74C8"/>
    <w:rsid w:val="14DA3512"/>
    <w:rsid w:val="14DF59BE"/>
    <w:rsid w:val="156331DC"/>
    <w:rsid w:val="15B67362"/>
    <w:rsid w:val="15F81CA0"/>
    <w:rsid w:val="17BD1326"/>
    <w:rsid w:val="17C705A3"/>
    <w:rsid w:val="185510BC"/>
    <w:rsid w:val="18DB101A"/>
    <w:rsid w:val="18FA74FA"/>
    <w:rsid w:val="19CC2A97"/>
    <w:rsid w:val="1A04172A"/>
    <w:rsid w:val="1A136730"/>
    <w:rsid w:val="1A3C1D16"/>
    <w:rsid w:val="1A504766"/>
    <w:rsid w:val="1A68311F"/>
    <w:rsid w:val="1A7772F6"/>
    <w:rsid w:val="1BB43BBA"/>
    <w:rsid w:val="1C313E57"/>
    <w:rsid w:val="1C4C35C5"/>
    <w:rsid w:val="1CD310B0"/>
    <w:rsid w:val="1D222AE4"/>
    <w:rsid w:val="1D244C8C"/>
    <w:rsid w:val="1DB27C45"/>
    <w:rsid w:val="1DF31EE9"/>
    <w:rsid w:val="1E232BB3"/>
    <w:rsid w:val="1E366A68"/>
    <w:rsid w:val="1F3D3C0A"/>
    <w:rsid w:val="1FBE30FE"/>
    <w:rsid w:val="1FDC24B9"/>
    <w:rsid w:val="1FE650A7"/>
    <w:rsid w:val="1FFC53A3"/>
    <w:rsid w:val="200F3B65"/>
    <w:rsid w:val="20287BCD"/>
    <w:rsid w:val="211F12D4"/>
    <w:rsid w:val="213F3052"/>
    <w:rsid w:val="21C87E4E"/>
    <w:rsid w:val="21F0364E"/>
    <w:rsid w:val="22667DBC"/>
    <w:rsid w:val="22711F61"/>
    <w:rsid w:val="22754F18"/>
    <w:rsid w:val="23B363F6"/>
    <w:rsid w:val="2512411F"/>
    <w:rsid w:val="260B1532"/>
    <w:rsid w:val="26394155"/>
    <w:rsid w:val="263D6430"/>
    <w:rsid w:val="268353BE"/>
    <w:rsid w:val="269D6ABE"/>
    <w:rsid w:val="2917144F"/>
    <w:rsid w:val="29B67FAE"/>
    <w:rsid w:val="29CE77E3"/>
    <w:rsid w:val="2A212E5C"/>
    <w:rsid w:val="2AFF59AB"/>
    <w:rsid w:val="2B300F58"/>
    <w:rsid w:val="2CD649E1"/>
    <w:rsid w:val="2D5B21EF"/>
    <w:rsid w:val="2D5F0022"/>
    <w:rsid w:val="2E0B2629"/>
    <w:rsid w:val="2F082DB7"/>
    <w:rsid w:val="2FF47EAD"/>
    <w:rsid w:val="302F5718"/>
    <w:rsid w:val="304E2B20"/>
    <w:rsid w:val="30776332"/>
    <w:rsid w:val="31532658"/>
    <w:rsid w:val="319F21BD"/>
    <w:rsid w:val="31EF23FB"/>
    <w:rsid w:val="33476DB4"/>
    <w:rsid w:val="34166A8A"/>
    <w:rsid w:val="34713E9D"/>
    <w:rsid w:val="34F7644D"/>
    <w:rsid w:val="3531154F"/>
    <w:rsid w:val="35CD49E4"/>
    <w:rsid w:val="36085C56"/>
    <w:rsid w:val="36821016"/>
    <w:rsid w:val="373E244A"/>
    <w:rsid w:val="37DF39F1"/>
    <w:rsid w:val="37FE5C96"/>
    <w:rsid w:val="393555C7"/>
    <w:rsid w:val="394746DF"/>
    <w:rsid w:val="394B715F"/>
    <w:rsid w:val="39A52602"/>
    <w:rsid w:val="39C83CE9"/>
    <w:rsid w:val="3A34610C"/>
    <w:rsid w:val="3A4D0349"/>
    <w:rsid w:val="3AE93299"/>
    <w:rsid w:val="3BEE102A"/>
    <w:rsid w:val="3C326143"/>
    <w:rsid w:val="3CAE5AB1"/>
    <w:rsid w:val="3CEF1867"/>
    <w:rsid w:val="3D2F2E6F"/>
    <w:rsid w:val="3D3872F3"/>
    <w:rsid w:val="3DDA076D"/>
    <w:rsid w:val="3E743B1B"/>
    <w:rsid w:val="3E7E7F3B"/>
    <w:rsid w:val="3EA43EA0"/>
    <w:rsid w:val="3EC043F8"/>
    <w:rsid w:val="3ECB3101"/>
    <w:rsid w:val="3F0B382A"/>
    <w:rsid w:val="3F5C7ED6"/>
    <w:rsid w:val="3FA95734"/>
    <w:rsid w:val="409C512D"/>
    <w:rsid w:val="40FC7518"/>
    <w:rsid w:val="41107CC7"/>
    <w:rsid w:val="413F442E"/>
    <w:rsid w:val="41F85DAD"/>
    <w:rsid w:val="4203780E"/>
    <w:rsid w:val="421C65F6"/>
    <w:rsid w:val="426117E9"/>
    <w:rsid w:val="42AF50DA"/>
    <w:rsid w:val="42B76A09"/>
    <w:rsid w:val="42EC7B6C"/>
    <w:rsid w:val="42F57FFE"/>
    <w:rsid w:val="43036F6B"/>
    <w:rsid w:val="43977A81"/>
    <w:rsid w:val="43BA7EA0"/>
    <w:rsid w:val="43CE4BF5"/>
    <w:rsid w:val="445A7F2E"/>
    <w:rsid w:val="44CC03E0"/>
    <w:rsid w:val="4534621C"/>
    <w:rsid w:val="45916B8B"/>
    <w:rsid w:val="45F46628"/>
    <w:rsid w:val="46616449"/>
    <w:rsid w:val="46E41F5E"/>
    <w:rsid w:val="47663134"/>
    <w:rsid w:val="48692EBB"/>
    <w:rsid w:val="48F834BD"/>
    <w:rsid w:val="490A109E"/>
    <w:rsid w:val="4A9C21C6"/>
    <w:rsid w:val="4B0D5604"/>
    <w:rsid w:val="4B260F47"/>
    <w:rsid w:val="4BA02222"/>
    <w:rsid w:val="4BF55AB0"/>
    <w:rsid w:val="4C4E3D33"/>
    <w:rsid w:val="4C527829"/>
    <w:rsid w:val="4C707D13"/>
    <w:rsid w:val="4CC24074"/>
    <w:rsid w:val="4D5B05BB"/>
    <w:rsid w:val="4D740082"/>
    <w:rsid w:val="4F3948F3"/>
    <w:rsid w:val="4F736F73"/>
    <w:rsid w:val="509A3DE1"/>
    <w:rsid w:val="51230983"/>
    <w:rsid w:val="52124BC4"/>
    <w:rsid w:val="524734BE"/>
    <w:rsid w:val="526D4180"/>
    <w:rsid w:val="53243794"/>
    <w:rsid w:val="53CD1117"/>
    <w:rsid w:val="53EB3D69"/>
    <w:rsid w:val="55C42D9E"/>
    <w:rsid w:val="5618391F"/>
    <w:rsid w:val="57821E82"/>
    <w:rsid w:val="578A4320"/>
    <w:rsid w:val="57AC7EAF"/>
    <w:rsid w:val="57EA6FB8"/>
    <w:rsid w:val="580E3A0A"/>
    <w:rsid w:val="5851639D"/>
    <w:rsid w:val="586B2FC0"/>
    <w:rsid w:val="587C2433"/>
    <w:rsid w:val="588137C1"/>
    <w:rsid w:val="58B26F46"/>
    <w:rsid w:val="58D02930"/>
    <w:rsid w:val="590B252F"/>
    <w:rsid w:val="59FE4BFD"/>
    <w:rsid w:val="5A1A53D2"/>
    <w:rsid w:val="5A410E82"/>
    <w:rsid w:val="5A9750E3"/>
    <w:rsid w:val="5B5E3F4E"/>
    <w:rsid w:val="5C020947"/>
    <w:rsid w:val="5C142628"/>
    <w:rsid w:val="5C402184"/>
    <w:rsid w:val="5C69293F"/>
    <w:rsid w:val="5D2C73AD"/>
    <w:rsid w:val="5D441E19"/>
    <w:rsid w:val="5D661CDC"/>
    <w:rsid w:val="5DDE0348"/>
    <w:rsid w:val="5E5A3A96"/>
    <w:rsid w:val="5F276E96"/>
    <w:rsid w:val="5FA20A6E"/>
    <w:rsid w:val="605F0F74"/>
    <w:rsid w:val="60645091"/>
    <w:rsid w:val="60A96BED"/>
    <w:rsid w:val="6165035B"/>
    <w:rsid w:val="617B3206"/>
    <w:rsid w:val="62826F3F"/>
    <w:rsid w:val="632F27B3"/>
    <w:rsid w:val="63A8488C"/>
    <w:rsid w:val="63BF46EF"/>
    <w:rsid w:val="63FC26FD"/>
    <w:rsid w:val="644165CA"/>
    <w:rsid w:val="64B94E94"/>
    <w:rsid w:val="64DE5AA4"/>
    <w:rsid w:val="64F26148"/>
    <w:rsid w:val="64FF0491"/>
    <w:rsid w:val="65007B3C"/>
    <w:rsid w:val="655169A7"/>
    <w:rsid w:val="66121FBF"/>
    <w:rsid w:val="665D20DD"/>
    <w:rsid w:val="6707053C"/>
    <w:rsid w:val="68181593"/>
    <w:rsid w:val="68AF66FF"/>
    <w:rsid w:val="6A6C2802"/>
    <w:rsid w:val="6A7639A0"/>
    <w:rsid w:val="6AA11564"/>
    <w:rsid w:val="6B1A4D5E"/>
    <w:rsid w:val="6B834EAC"/>
    <w:rsid w:val="6B935E4F"/>
    <w:rsid w:val="6C37706B"/>
    <w:rsid w:val="6C86194E"/>
    <w:rsid w:val="6CD01D71"/>
    <w:rsid w:val="6CFD0C6A"/>
    <w:rsid w:val="6D18387C"/>
    <w:rsid w:val="6D3E7F08"/>
    <w:rsid w:val="6DDB29B6"/>
    <w:rsid w:val="6DE71F31"/>
    <w:rsid w:val="6E096305"/>
    <w:rsid w:val="6E6D2E85"/>
    <w:rsid w:val="6E9A0A20"/>
    <w:rsid w:val="6E9D7D85"/>
    <w:rsid w:val="6FB954FB"/>
    <w:rsid w:val="70031541"/>
    <w:rsid w:val="70487CFE"/>
    <w:rsid w:val="70752B4A"/>
    <w:rsid w:val="70A16EB8"/>
    <w:rsid w:val="713059E9"/>
    <w:rsid w:val="71B01540"/>
    <w:rsid w:val="71E06B5E"/>
    <w:rsid w:val="7232334B"/>
    <w:rsid w:val="727D2EC3"/>
    <w:rsid w:val="728A5496"/>
    <w:rsid w:val="72FA1DEA"/>
    <w:rsid w:val="73101ED5"/>
    <w:rsid w:val="731F766E"/>
    <w:rsid w:val="73414A19"/>
    <w:rsid w:val="73542962"/>
    <w:rsid w:val="736218CB"/>
    <w:rsid w:val="73CF62E8"/>
    <w:rsid w:val="73E45C35"/>
    <w:rsid w:val="749E74C0"/>
    <w:rsid w:val="76A71A4B"/>
    <w:rsid w:val="776F516F"/>
    <w:rsid w:val="7785248C"/>
    <w:rsid w:val="77C92E99"/>
    <w:rsid w:val="78FA7AC7"/>
    <w:rsid w:val="7AE4111A"/>
    <w:rsid w:val="7B1B3235"/>
    <w:rsid w:val="7B674390"/>
    <w:rsid w:val="7BAC098A"/>
    <w:rsid w:val="7C940159"/>
    <w:rsid w:val="7D6E1E7F"/>
    <w:rsid w:val="7DDA09D9"/>
    <w:rsid w:val="7DFF65F3"/>
    <w:rsid w:val="7E880B72"/>
    <w:rsid w:val="7EB830BB"/>
    <w:rsid w:val="7ED9170A"/>
    <w:rsid w:val="7F646913"/>
    <w:rsid w:val="7F731C6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link w:val="31"/>
    <w:unhideWhenUsed/>
    <w:qFormat/>
    <w:uiPriority w:val="9"/>
    <w:pPr>
      <w:spacing w:beforeLines="100" w:afterLines="100" w:line="560" w:lineRule="exact"/>
      <w:jc w:val="center"/>
      <w:outlineLvl w:val="1"/>
    </w:pPr>
    <w:rPr>
      <w:rFonts w:ascii="黑体" w:hAnsi="黑体" w:eastAsia="黑体"/>
      <w:b/>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4">
    <w:name w:val="Balloon Text"/>
    <w:basedOn w:val="1"/>
    <w:link w:val="23"/>
    <w:qFormat/>
    <w:uiPriority w:val="0"/>
    <w:rPr>
      <w:sz w:val="18"/>
      <w:szCs w:val="18"/>
    </w:rPr>
  </w:style>
  <w:style w:type="paragraph" w:styleId="5">
    <w:name w:val="footer"/>
    <w:basedOn w:val="1"/>
    <w:link w:val="25"/>
    <w:qFormat/>
    <w:uiPriority w:val="0"/>
    <w:pPr>
      <w:tabs>
        <w:tab w:val="center" w:pos="4153"/>
        <w:tab w:val="right" w:pos="8306"/>
      </w:tabs>
      <w:snapToGrid w:val="0"/>
      <w:jc w:val="left"/>
    </w:pPr>
    <w:rPr>
      <w:sz w:val="18"/>
      <w:szCs w:val="18"/>
    </w:rPr>
  </w:style>
  <w:style w:type="paragraph" w:styleId="6">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next w:val="1"/>
    <w:qFormat/>
    <w:uiPriority w:val="0"/>
    <w:pPr>
      <w:spacing w:before="240" w:after="120" w:line="740" w:lineRule="exact"/>
      <w:jc w:val="center"/>
      <w:outlineLvl w:val="0"/>
    </w:pPr>
    <w:rPr>
      <w:rFonts w:ascii="等线 Light" w:hAnsi="等线 Light" w:eastAsia="方正小标宋简体"/>
      <w:b/>
      <w:bCs/>
      <w:sz w:val="44"/>
      <w:szCs w:val="32"/>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bCs/>
    </w:rPr>
  </w:style>
  <w:style w:type="character" w:styleId="13">
    <w:name w:val="FollowedHyperlink"/>
    <w:basedOn w:val="11"/>
    <w:qFormat/>
    <w:uiPriority w:val="0"/>
    <w:rPr>
      <w:color w:val="000000"/>
      <w:u w:val="none"/>
    </w:rPr>
  </w:style>
  <w:style w:type="character" w:styleId="14">
    <w:name w:val="Emphasis"/>
    <w:basedOn w:val="11"/>
    <w:qFormat/>
    <w:uiPriority w:val="0"/>
  </w:style>
  <w:style w:type="character" w:styleId="15">
    <w:name w:val="HTML Definition"/>
    <w:basedOn w:val="11"/>
    <w:qFormat/>
    <w:uiPriority w:val="0"/>
  </w:style>
  <w:style w:type="character" w:styleId="16">
    <w:name w:val="HTML Typewriter"/>
    <w:basedOn w:val="11"/>
    <w:qFormat/>
    <w:uiPriority w:val="0"/>
    <w:rPr>
      <w:rFonts w:ascii="Lucida Console" w:hAnsi="Lucida Console" w:eastAsia="Lucida Console" w:cs="Lucida Console"/>
      <w:sz w:val="18"/>
      <w:szCs w:val="18"/>
    </w:rPr>
  </w:style>
  <w:style w:type="character" w:styleId="17">
    <w:name w:val="HTML Acronym"/>
    <w:basedOn w:val="11"/>
    <w:qFormat/>
    <w:uiPriority w:val="0"/>
  </w:style>
  <w:style w:type="character" w:styleId="18">
    <w:name w:val="HTML Variable"/>
    <w:basedOn w:val="11"/>
    <w:qFormat/>
    <w:uiPriority w:val="0"/>
  </w:style>
  <w:style w:type="character" w:styleId="19">
    <w:name w:val="Hyperlink"/>
    <w:basedOn w:val="11"/>
    <w:qFormat/>
    <w:uiPriority w:val="0"/>
    <w:rPr>
      <w:color w:val="0000FF"/>
      <w:u w:val="single"/>
    </w:rPr>
  </w:style>
  <w:style w:type="character" w:styleId="20">
    <w:name w:val="HTML Code"/>
    <w:basedOn w:val="11"/>
    <w:qFormat/>
    <w:uiPriority w:val="0"/>
    <w:rPr>
      <w:rFonts w:hint="default" w:ascii="Lucida Console" w:hAnsi="Lucida Console" w:eastAsia="Lucida Console" w:cs="Lucida Console"/>
      <w:sz w:val="18"/>
      <w:szCs w:val="18"/>
    </w:rPr>
  </w:style>
  <w:style w:type="character" w:styleId="21">
    <w:name w:val="HTML Cite"/>
    <w:basedOn w:val="11"/>
    <w:qFormat/>
    <w:uiPriority w:val="0"/>
  </w:style>
  <w:style w:type="paragraph" w:styleId="22">
    <w:name w:val="List Paragraph"/>
    <w:basedOn w:val="1"/>
    <w:unhideWhenUsed/>
    <w:qFormat/>
    <w:uiPriority w:val="99"/>
    <w:pPr>
      <w:ind w:firstLine="420" w:firstLineChars="200"/>
    </w:pPr>
  </w:style>
  <w:style w:type="character" w:customStyle="1" w:styleId="23">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24">
    <w:name w:val="页眉 Char"/>
    <w:basedOn w:val="11"/>
    <w:link w:val="6"/>
    <w:qFormat/>
    <w:uiPriority w:val="0"/>
    <w:rPr>
      <w:rFonts w:asciiTheme="minorHAnsi" w:hAnsiTheme="minorHAnsi" w:eastAsiaTheme="minorEastAsia" w:cstheme="minorBidi"/>
      <w:kern w:val="2"/>
      <w:sz w:val="18"/>
      <w:szCs w:val="18"/>
    </w:rPr>
  </w:style>
  <w:style w:type="character" w:customStyle="1" w:styleId="25">
    <w:name w:val="页脚 Char"/>
    <w:basedOn w:val="11"/>
    <w:link w:val="5"/>
    <w:qFormat/>
    <w:uiPriority w:val="0"/>
    <w:rPr>
      <w:rFonts w:asciiTheme="minorHAnsi" w:hAnsiTheme="minorHAnsi" w:eastAsiaTheme="minorEastAsia" w:cstheme="minorBidi"/>
      <w:kern w:val="2"/>
      <w:sz w:val="18"/>
      <w:szCs w:val="18"/>
    </w:rPr>
  </w:style>
  <w:style w:type="character" w:customStyle="1" w:styleId="26">
    <w:name w:val="cr"/>
    <w:basedOn w:val="11"/>
    <w:qFormat/>
    <w:uiPriority w:val="0"/>
    <w:rPr>
      <w:color w:val="FFFFFF"/>
      <w:shd w:val="clear" w:color="auto" w:fill="D22D26"/>
    </w:rPr>
  </w:style>
  <w:style w:type="character" w:customStyle="1" w:styleId="27">
    <w:name w:val="after"/>
    <w:basedOn w:val="11"/>
    <w:qFormat/>
    <w:uiPriority w:val="0"/>
  </w:style>
  <w:style w:type="paragraph" w:customStyle="1" w:styleId="28">
    <w:name w:val="CM4"/>
    <w:basedOn w:val="2"/>
    <w:next w:val="2"/>
    <w:unhideWhenUsed/>
    <w:qFormat/>
    <w:uiPriority w:val="99"/>
    <w:pPr>
      <w:spacing w:line="600" w:lineRule="atLeast"/>
    </w:pPr>
  </w:style>
  <w:style w:type="paragraph" w:customStyle="1" w:styleId="29">
    <w:name w:val="CM2"/>
    <w:basedOn w:val="2"/>
    <w:next w:val="2"/>
    <w:unhideWhenUsed/>
    <w:qFormat/>
    <w:uiPriority w:val="99"/>
    <w:pPr>
      <w:spacing w:line="600" w:lineRule="atLeast"/>
    </w:pPr>
  </w:style>
  <w:style w:type="paragraph" w:customStyle="1" w:styleId="30">
    <w:name w:val="CM7"/>
    <w:basedOn w:val="2"/>
    <w:next w:val="2"/>
    <w:unhideWhenUsed/>
    <w:qFormat/>
    <w:uiPriority w:val="99"/>
    <w:pPr>
      <w:spacing w:line="600" w:lineRule="atLeast"/>
    </w:pPr>
  </w:style>
  <w:style w:type="character" w:customStyle="1" w:styleId="31">
    <w:name w:val="标题 2 Char"/>
    <w:basedOn w:val="11"/>
    <w:link w:val="3"/>
    <w:qFormat/>
    <w:uiPriority w:val="9"/>
    <w:rPr>
      <w:rFonts w:ascii="黑体" w:hAnsi="黑体" w:eastAsia="黑体" w:cstheme="minorBidi"/>
      <w:b/>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10C37C-41EE-48B0-A1CF-686495AE066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6650</Words>
  <Characters>7031</Characters>
  <Lines>55</Lines>
  <Paragraphs>15</Paragraphs>
  <TotalTime>13</TotalTime>
  <ScaleCrop>false</ScaleCrop>
  <LinksUpToDate>false</LinksUpToDate>
  <CharactersWithSpaces>7145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2021-03-18T13:10:00Z</dcterms:created>
  <dc:creator>邸</dc:creator>
  <cp:lastModifiedBy>anan</cp:lastModifiedBy>
  <cp:lastPrinted>2021-07-19T00:45:00Z</cp:lastPrinted>
  <dcterms:modified xsi:type="dcterms:W3CDTF">2022-06-06T06:48:16Z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645548BCBF3F409BBD90A8D66D979031</vt:lpwstr>
  </property>
  <property fmtid="{D5CDD505-2E9C-101B-9397-08002B2CF9AE}" pid="4" name="KSOSaveFontToCloudKey">
    <vt:lpwstr>505679274_btnclosed</vt:lpwstr>
  </property>
</Properties>
</file>