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0" w:lineRule="atLeast"/>
        <w:jc w:val="left"/>
        <w:rPr>
          <w:rFonts w:hint="eastAsia" w:ascii="宋体" w:hAnsi="宋体" w:eastAsia="宋体" w:cs="宋体"/>
          <w:b w:val="0"/>
          <w:bCs w:val="0"/>
          <w:color w:val="auto"/>
          <w:sz w:val="36"/>
          <w:szCs w:val="36"/>
          <w:lang w:eastAsia="zh-CN"/>
        </w:rPr>
      </w:pPr>
      <w:r>
        <w:rPr>
          <w:rFonts w:hint="eastAsia" w:ascii="宋体" w:hAnsi="宋体" w:eastAsia="宋体" w:cs="宋体"/>
          <w:b w:val="0"/>
          <w:bCs w:val="0"/>
          <w:color w:val="auto"/>
          <w:sz w:val="36"/>
          <w:szCs w:val="36"/>
          <w:lang w:eastAsia="zh-CN"/>
        </w:rPr>
        <w:t>附：</w:t>
      </w:r>
    </w:p>
    <w:p>
      <w:pPr>
        <w:spacing w:before="312" w:beforeLines="100" w:after="312" w:afterLines="100" w:line="0" w:lineRule="atLeast"/>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建设工程绿色建造水平评价实施细则</w:t>
      </w:r>
      <w:r>
        <w:rPr>
          <w:rFonts w:hint="eastAsia" w:ascii="宋体" w:hAnsi="宋体" w:eastAsia="宋体" w:cs="宋体"/>
          <w:b/>
          <w:bCs/>
          <w:color w:val="auto"/>
          <w:sz w:val="36"/>
          <w:szCs w:val="36"/>
          <w:lang w:eastAsia="zh-CN"/>
        </w:rPr>
        <w:t>（试行）</w:t>
      </w:r>
    </w:p>
    <w:p>
      <w:pPr>
        <w:spacing w:line="58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 xml:space="preserve">第一章 </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总</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则</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黑体" w:hAnsi="黑体" w:eastAsia="黑体" w:cs="黑体"/>
          <w:bCs/>
          <w:color w:val="auto"/>
          <w:sz w:val="32"/>
          <w:szCs w:val="32"/>
        </w:rPr>
        <w:t>第一条</w:t>
      </w:r>
      <w:r>
        <w:rPr>
          <w:rFonts w:hint="eastAsia" w:ascii="仿宋_GB2312" w:hAnsi="仿宋" w:eastAsia="仿宋_GB2312" w:cs="Times New Roman"/>
          <w:color w:val="auto"/>
          <w:sz w:val="32"/>
          <w:szCs w:val="32"/>
        </w:rPr>
        <w:t xml:space="preserve"> 为贯彻落实国家</w:t>
      </w:r>
      <w:r>
        <w:rPr>
          <w:rFonts w:hint="eastAsia" w:ascii="仿宋_GB2312" w:hAnsi="仿宋" w:eastAsia="仿宋_GB2312" w:cs="Times New Roman"/>
          <w:color w:val="auto"/>
          <w:sz w:val="32"/>
          <w:szCs w:val="32"/>
          <w:lang w:eastAsia="zh-CN"/>
        </w:rPr>
        <w:t>关于</w:t>
      </w:r>
      <w:r>
        <w:rPr>
          <w:rFonts w:hint="eastAsia" w:ascii="仿宋_GB2312" w:hAnsi="仿宋" w:eastAsia="仿宋_GB2312" w:cs="Times New Roman"/>
          <w:color w:val="auto"/>
          <w:sz w:val="32"/>
          <w:szCs w:val="32"/>
        </w:rPr>
        <w:t>绿色发展</w:t>
      </w:r>
      <w:r>
        <w:rPr>
          <w:rFonts w:hint="eastAsia" w:ascii="仿宋_GB2312" w:hAnsi="仿宋" w:eastAsia="仿宋_GB2312" w:cs="Times New Roman"/>
          <w:color w:val="auto"/>
          <w:sz w:val="32"/>
          <w:szCs w:val="32"/>
          <w:lang w:eastAsia="zh-CN"/>
        </w:rPr>
        <w:t>和</w:t>
      </w:r>
      <w:r>
        <w:rPr>
          <w:rFonts w:hint="eastAsia" w:ascii="仿宋_GB2312" w:hAnsi="仿宋" w:eastAsia="仿宋_GB2312" w:cs="Times New Roman"/>
          <w:color w:val="auto"/>
          <w:sz w:val="32"/>
          <w:szCs w:val="32"/>
        </w:rPr>
        <w:t>可持续发展战略，推进</w:t>
      </w:r>
      <w:r>
        <w:rPr>
          <w:rFonts w:hint="eastAsia" w:ascii="仿宋_GB2312" w:hAnsi="仿宋" w:eastAsia="仿宋_GB2312" w:cs="Times New Roman"/>
          <w:color w:val="auto"/>
          <w:sz w:val="32"/>
          <w:szCs w:val="32"/>
          <w:lang w:eastAsia="zh-CN"/>
        </w:rPr>
        <w:t>建设工程</w:t>
      </w:r>
      <w:r>
        <w:rPr>
          <w:rFonts w:hint="eastAsia" w:ascii="仿宋_GB2312" w:hAnsi="仿宋" w:eastAsia="仿宋_GB2312" w:cs="Times New Roman"/>
          <w:color w:val="auto"/>
          <w:sz w:val="32"/>
          <w:szCs w:val="32"/>
        </w:rPr>
        <w:t>全生命周期绿色建造</w:t>
      </w:r>
      <w:r>
        <w:rPr>
          <w:rFonts w:hint="eastAsia" w:ascii="仿宋_GB2312" w:hAnsi="仿宋" w:eastAsia="仿宋_GB2312" w:cs="Times New Roman"/>
          <w:color w:val="auto"/>
          <w:sz w:val="32"/>
          <w:szCs w:val="32"/>
          <w:lang w:eastAsia="zh-CN"/>
        </w:rPr>
        <w:t>工作</w:t>
      </w:r>
      <w:r>
        <w:rPr>
          <w:rFonts w:hint="eastAsia" w:ascii="仿宋_GB2312" w:hAnsi="仿宋" w:eastAsia="仿宋_GB2312" w:cs="Times New Roman"/>
          <w:color w:val="auto"/>
          <w:sz w:val="32"/>
          <w:szCs w:val="32"/>
        </w:rPr>
        <w:t>，依据《绿色建造技术导则（试行）》</w:t>
      </w:r>
      <w:r>
        <w:rPr>
          <w:rFonts w:hint="eastAsia" w:ascii="仿宋_GB2312" w:hAnsi="仿宋" w:eastAsia="仿宋_GB2312" w:cs="Times New Roman"/>
          <w:color w:val="auto"/>
          <w:sz w:val="32"/>
          <w:szCs w:val="32"/>
          <w:lang w:eastAsia="zh-CN"/>
        </w:rPr>
        <w:t>、中建协和中施企协关于绿色建造竞赛（评价）办法及</w:t>
      </w:r>
      <w:r>
        <w:rPr>
          <w:rFonts w:hint="eastAsia" w:ascii="仿宋_GB2312" w:hAnsi="仿宋" w:eastAsia="仿宋_GB2312" w:cs="Times New Roman"/>
          <w:color w:val="auto"/>
          <w:sz w:val="32"/>
          <w:szCs w:val="32"/>
        </w:rPr>
        <w:t>《建设工程绿色建造施工水平评价办法（试行）》</w:t>
      </w:r>
      <w:r>
        <w:rPr>
          <w:rFonts w:hint="eastAsia" w:ascii="仿宋_GB2312" w:hAnsi="仿宋" w:eastAsia="仿宋_GB2312" w:cs="Times New Roman"/>
          <w:color w:val="auto"/>
          <w:sz w:val="32"/>
          <w:szCs w:val="32"/>
          <w:lang w:eastAsia="zh-CN"/>
        </w:rPr>
        <w:t>相关要求，</w:t>
      </w:r>
      <w:r>
        <w:rPr>
          <w:rFonts w:hint="eastAsia" w:ascii="仿宋_GB2312" w:hAnsi="仿宋" w:eastAsia="仿宋_GB2312" w:cs="Times New Roman"/>
          <w:color w:val="auto"/>
          <w:sz w:val="32"/>
          <w:szCs w:val="32"/>
        </w:rPr>
        <w:t>制定本</w:t>
      </w:r>
      <w:r>
        <w:rPr>
          <w:rFonts w:hint="eastAsia" w:ascii="仿宋_GB2312" w:hAnsi="仿宋" w:eastAsia="仿宋_GB2312" w:cs="Times New Roman"/>
          <w:color w:val="auto"/>
          <w:sz w:val="32"/>
          <w:szCs w:val="32"/>
          <w:lang w:eastAsia="zh-CN"/>
        </w:rPr>
        <w:t>实施</w:t>
      </w:r>
      <w:r>
        <w:rPr>
          <w:rFonts w:hint="eastAsia" w:ascii="仿宋_GB2312" w:hAnsi="仿宋" w:eastAsia="仿宋_GB2312" w:cs="Times New Roman"/>
          <w:color w:val="auto"/>
          <w:sz w:val="32"/>
          <w:szCs w:val="32"/>
        </w:rPr>
        <w:t>细则。</w:t>
      </w:r>
    </w:p>
    <w:p>
      <w:pPr>
        <w:pStyle w:val="2"/>
        <w:keepNext w:val="0"/>
        <w:keepLines w:val="0"/>
        <w:pageBreakBefore w:val="0"/>
        <w:widowControl w:val="0"/>
        <w:kinsoku/>
        <w:wordWrap/>
        <w:overflowPunct/>
        <w:topLinePunct w:val="0"/>
        <w:bidi w:val="0"/>
        <w:snapToGrid/>
        <w:jc w:val="both"/>
        <w:textAlignment w:val="auto"/>
        <w:rPr>
          <w:rFonts w:hint="eastAsia" w:ascii="仿宋" w:hAnsi="仿宋" w:eastAsia="仿宋" w:cs="宋体"/>
          <w:color w:val="auto"/>
          <w:sz w:val="32"/>
          <w:szCs w:val="32"/>
        </w:rPr>
      </w:pPr>
      <w:r>
        <w:rPr>
          <w:rFonts w:hint="eastAsia" w:ascii="仿宋_GB2312" w:hAnsi="仿宋" w:eastAsia="仿宋_GB2312" w:cs="Times New Roman"/>
          <w:color w:val="auto"/>
          <w:sz w:val="32"/>
          <w:szCs w:val="32"/>
          <w:lang w:val="en-US" w:eastAsia="zh-CN"/>
        </w:rPr>
        <w:t xml:space="preserve">    </w:t>
      </w:r>
      <w:r>
        <w:rPr>
          <w:rFonts w:hint="eastAsia" w:ascii="黑体" w:hAnsi="黑体" w:eastAsia="黑体" w:cs="黑体"/>
          <w:bCs/>
          <w:color w:val="auto"/>
          <w:sz w:val="32"/>
          <w:szCs w:val="32"/>
        </w:rPr>
        <w:t>第一条</w:t>
      </w:r>
      <w:r>
        <w:rPr>
          <w:rFonts w:hint="eastAsia" w:hAnsi="黑体" w:cs="黑体"/>
          <w:bCs/>
          <w:color w:val="auto"/>
          <w:sz w:val="32"/>
          <w:szCs w:val="32"/>
          <w:lang w:val="en-US" w:eastAsia="zh-CN"/>
        </w:rPr>
        <w:t xml:space="preserve"> </w:t>
      </w:r>
      <w:r>
        <w:rPr>
          <w:rFonts w:hint="eastAsia" w:ascii="仿宋_GB2312" w:hAnsi="仿宋" w:eastAsia="仿宋_GB2312" w:cs="Times New Roman"/>
          <w:color w:val="auto"/>
          <w:kern w:val="2"/>
          <w:sz w:val="32"/>
          <w:szCs w:val="32"/>
          <w:lang w:val="en-US" w:eastAsia="zh-CN" w:bidi="ar-SA"/>
        </w:rPr>
        <w:t>本细则适用于</w:t>
      </w:r>
      <w:r>
        <w:rPr>
          <w:rFonts w:hint="eastAsia" w:ascii="仿宋" w:hAnsi="仿宋" w:eastAsia="仿宋" w:cs="宋体"/>
          <w:color w:val="auto"/>
          <w:sz w:val="32"/>
          <w:szCs w:val="32"/>
          <w:lang w:eastAsia="zh-CN"/>
        </w:rPr>
        <w:t>省</w:t>
      </w:r>
      <w:r>
        <w:rPr>
          <w:rFonts w:hint="eastAsia" w:ascii="仿宋" w:hAnsi="仿宋" w:eastAsia="仿宋" w:cs="宋体"/>
          <w:color w:val="auto"/>
          <w:sz w:val="32"/>
          <w:szCs w:val="32"/>
        </w:rPr>
        <w:t>内施工的在建工程项目</w:t>
      </w:r>
      <w:r>
        <w:rPr>
          <w:rFonts w:hint="eastAsia" w:ascii="仿宋" w:hAnsi="仿宋" w:eastAsia="仿宋" w:cs="宋体"/>
          <w:color w:val="auto"/>
          <w:sz w:val="32"/>
          <w:szCs w:val="32"/>
          <w:lang w:eastAsia="zh-CN"/>
        </w:rPr>
        <w:t>或</w:t>
      </w:r>
      <w:r>
        <w:rPr>
          <w:rFonts w:hint="eastAsia" w:ascii="仿宋" w:hAnsi="仿宋" w:eastAsia="仿宋" w:cs="宋体"/>
          <w:color w:val="auto"/>
          <w:sz w:val="32"/>
          <w:szCs w:val="32"/>
        </w:rPr>
        <w:t>省</w:t>
      </w:r>
      <w:r>
        <w:rPr>
          <w:rFonts w:hint="eastAsia" w:ascii="仿宋" w:hAnsi="仿宋" w:eastAsia="仿宋" w:cs="宋体"/>
          <w:color w:val="auto"/>
          <w:sz w:val="32"/>
          <w:szCs w:val="32"/>
          <w:lang w:eastAsia="zh-CN"/>
        </w:rPr>
        <w:t>内</w:t>
      </w:r>
      <w:r>
        <w:rPr>
          <w:rFonts w:hint="eastAsia" w:ascii="仿宋" w:hAnsi="仿宋" w:eastAsia="仿宋" w:cs="宋体"/>
          <w:color w:val="auto"/>
          <w:sz w:val="32"/>
          <w:szCs w:val="32"/>
        </w:rPr>
        <w:t>施工企业在省</w:t>
      </w:r>
      <w:r>
        <w:rPr>
          <w:rFonts w:hint="eastAsia" w:ascii="仿宋" w:hAnsi="仿宋" w:eastAsia="仿宋" w:cs="宋体"/>
          <w:color w:val="auto"/>
          <w:sz w:val="32"/>
          <w:szCs w:val="32"/>
          <w:lang w:eastAsia="zh-CN"/>
        </w:rPr>
        <w:t>外</w:t>
      </w:r>
      <w:r>
        <w:rPr>
          <w:rFonts w:hint="eastAsia" w:ascii="仿宋" w:hAnsi="仿宋" w:eastAsia="仿宋" w:cs="宋体"/>
          <w:color w:val="auto"/>
          <w:sz w:val="32"/>
          <w:szCs w:val="32"/>
        </w:rPr>
        <w:t>施工的在建工程项目</w:t>
      </w:r>
      <w:r>
        <w:rPr>
          <w:rFonts w:hint="eastAsia" w:ascii="仿宋" w:hAnsi="仿宋" w:eastAsia="仿宋" w:cs="宋体"/>
          <w:color w:val="auto"/>
          <w:sz w:val="32"/>
          <w:szCs w:val="32"/>
          <w:lang w:eastAsia="zh-CN"/>
        </w:rPr>
        <w:t>绿色建造水平评价工作</w:t>
      </w:r>
      <w:r>
        <w:rPr>
          <w:rFonts w:hint="eastAsia" w:ascii="仿宋" w:hAnsi="仿宋" w:eastAsia="仿宋" w:cs="宋体"/>
          <w:color w:val="auto"/>
          <w:sz w:val="32"/>
          <w:szCs w:val="32"/>
        </w:rPr>
        <w:t>。</w:t>
      </w:r>
    </w:p>
    <w:p>
      <w:pPr>
        <w:spacing w:line="58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第二章 评价范围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黑体" w:hAnsi="黑体" w:eastAsia="黑体" w:cs="黑体"/>
          <w:bCs/>
          <w:color w:val="auto"/>
          <w:sz w:val="32"/>
          <w:szCs w:val="32"/>
        </w:rPr>
        <w:t>第三条</w:t>
      </w:r>
      <w:r>
        <w:rPr>
          <w:rFonts w:hint="eastAsia" w:ascii="仿宋_GB2312" w:hAnsi="仿宋" w:eastAsia="仿宋_GB2312" w:cs="Times New Roman"/>
          <w:color w:val="auto"/>
          <w:sz w:val="32"/>
          <w:szCs w:val="32"/>
        </w:rPr>
        <w:t xml:space="preserve"> 绿色建造评价包括下列工程：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（一）建筑工程；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（二）公路交通工程；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 xml:space="preserve">（三）水利、电力工程；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（四）市政园林工程。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黑体" w:hAnsi="黑体" w:eastAsia="黑体" w:cs="黑体"/>
          <w:bCs/>
          <w:color w:val="auto"/>
          <w:sz w:val="32"/>
          <w:szCs w:val="32"/>
        </w:rPr>
        <w:t>第四条</w:t>
      </w:r>
      <w:r>
        <w:rPr>
          <w:rFonts w:hint="eastAsia" w:ascii="仿宋_GB2312" w:hAnsi="仿宋" w:eastAsia="仿宋_GB2312" w:cs="Times New Roman"/>
          <w:color w:val="auto"/>
          <w:sz w:val="32"/>
          <w:szCs w:val="32"/>
        </w:rPr>
        <w:t xml:space="preserve"> 下列工程不列入评价范围：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（一）不符合国家产业政策，使用国家主管部门以及行业明令禁止使用或者淘汰的材料、技术、工艺和设备的工程；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（二）由于设计、施工等原因而存在质量、安全隐患、功能性缺陷的工程；</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（三）发生重大违规违纪事件的工程；</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（四）工程建设过程中发生过一般及以上质量事故、一般及以上安全事故和环境事故的工程。</w:t>
      </w:r>
    </w:p>
    <w:p>
      <w:pPr>
        <w:pStyle w:val="22"/>
        <w:tabs>
          <w:tab w:val="left" w:pos="1843"/>
        </w:tabs>
        <w:spacing w:line="600" w:lineRule="exact"/>
        <w:ind w:left="560" w:firstLine="0" w:firstLineChars="0"/>
        <w:rPr>
          <w:rFonts w:ascii="仿宋_GB2312" w:hAnsi="仿宋" w:eastAsia="仿宋_GB2312" w:cs="Times New Roman"/>
          <w:color w:val="auto"/>
          <w:sz w:val="32"/>
          <w:szCs w:val="32"/>
        </w:rPr>
      </w:pPr>
      <w:r>
        <w:rPr>
          <w:rFonts w:hint="eastAsia" w:ascii="黑体" w:hAnsi="黑体" w:eastAsia="黑体" w:cs="黑体"/>
          <w:bCs/>
          <w:color w:val="auto"/>
          <w:sz w:val="32"/>
          <w:szCs w:val="32"/>
        </w:rPr>
        <w:t xml:space="preserve">第五条 </w:t>
      </w:r>
      <w:r>
        <w:rPr>
          <w:rFonts w:hint="eastAsia" w:ascii="仿宋_GB2312" w:hAnsi="仿宋" w:eastAsia="仿宋_GB2312" w:cs="Times New Roman"/>
          <w:color w:val="auto"/>
          <w:sz w:val="32"/>
          <w:szCs w:val="32"/>
        </w:rPr>
        <w:t>申报绿色建造评价的工程应当具备下列条件：</w:t>
      </w:r>
    </w:p>
    <w:p>
      <w:pPr>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（一）符合国家倡导的建设生态文明、推进绿色发展的政策法规要求；</w:t>
      </w:r>
    </w:p>
    <w:p>
      <w:pPr>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（二）建设程序合法合规，建设手续齐全；</w:t>
      </w:r>
    </w:p>
    <w:p>
      <w:pPr>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（三）设计方案须符合国家有关行业或产业发展政策，具有先进的设计理念，采用适用、安全、经济、可靠的新技术，符合国家有关设计、施工规范和相关要求；</w:t>
      </w:r>
    </w:p>
    <w:p>
      <w:pPr>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（四）有建设工程绿色建造实施策划方案；</w:t>
      </w:r>
    </w:p>
    <w:p>
      <w:pPr>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（五）具有显著的经济和社会效益。</w:t>
      </w:r>
    </w:p>
    <w:p>
      <w:pPr>
        <w:spacing w:line="58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第三章  申报要求</w:t>
      </w:r>
    </w:p>
    <w:p>
      <w:pPr>
        <w:tabs>
          <w:tab w:val="left" w:pos="1843"/>
        </w:tabs>
        <w:spacing w:line="600" w:lineRule="exact"/>
        <w:ind w:firstLine="640" w:firstLineChars="200"/>
        <w:rPr>
          <w:rFonts w:ascii="仿宋_GB2312" w:hAnsi="仿宋" w:eastAsia="仿宋_GB2312" w:cs="Times New Roman"/>
          <w:color w:val="auto"/>
          <w:sz w:val="32"/>
          <w:szCs w:val="32"/>
        </w:rPr>
      </w:pPr>
      <w:r>
        <w:rPr>
          <w:rFonts w:hint="eastAsia" w:ascii="黑体" w:hAnsi="黑体" w:eastAsia="黑体" w:cs="黑体"/>
          <w:bCs/>
          <w:color w:val="auto"/>
          <w:sz w:val="32"/>
          <w:szCs w:val="32"/>
        </w:rPr>
        <w:t xml:space="preserve">第六条 </w:t>
      </w:r>
      <w:r>
        <w:rPr>
          <w:rFonts w:hint="eastAsia" w:ascii="仿宋_GB2312" w:hAnsi="仿宋" w:eastAsia="仿宋_GB2312" w:cs="Times New Roman"/>
          <w:color w:val="auto"/>
          <w:sz w:val="32"/>
          <w:szCs w:val="32"/>
        </w:rPr>
        <w:t>申报绿色建造水平评价的工程由建设单位、施工单位或设计施工总承包单位自愿组织申报。</w:t>
      </w:r>
    </w:p>
    <w:p>
      <w:pPr>
        <w:tabs>
          <w:tab w:val="left" w:pos="1843"/>
        </w:tabs>
        <w:spacing w:line="600" w:lineRule="exact"/>
        <w:ind w:firstLine="640" w:firstLineChars="200"/>
        <w:rPr>
          <w:rFonts w:ascii="仿宋_GB2312" w:hAnsi="仿宋" w:eastAsia="仿宋_GB2312" w:cs="Times New Roman"/>
          <w:color w:val="auto"/>
          <w:sz w:val="32"/>
          <w:szCs w:val="32"/>
        </w:rPr>
      </w:pPr>
      <w:r>
        <w:rPr>
          <w:rFonts w:hint="eastAsia" w:ascii="黑体" w:hAnsi="黑体" w:eastAsia="黑体" w:cs="黑体"/>
          <w:bCs/>
          <w:color w:val="auto"/>
          <w:sz w:val="32"/>
          <w:szCs w:val="32"/>
        </w:rPr>
        <w:t xml:space="preserve">第七条 </w:t>
      </w:r>
      <w:r>
        <w:rPr>
          <w:rFonts w:hint="eastAsia" w:ascii="仿宋_GB2312" w:hAnsi="仿宋" w:eastAsia="仿宋_GB2312" w:cs="Times New Roman"/>
          <w:color w:val="auto"/>
          <w:sz w:val="32"/>
          <w:szCs w:val="32"/>
        </w:rPr>
        <w:t>符合申报条件工程项目，在主体工程完成前，具备现场检查条件后即可申报。</w:t>
      </w:r>
    </w:p>
    <w:p>
      <w:pPr>
        <w:spacing w:line="58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第四章  评价程序</w:t>
      </w:r>
    </w:p>
    <w:p>
      <w:pPr>
        <w:spacing w:line="580" w:lineRule="exact"/>
        <w:ind w:firstLine="640" w:firstLineChars="200"/>
        <w:rPr>
          <w:rFonts w:hint="eastAsia" w:ascii="仿宋_GB2312" w:hAnsi="仿宋" w:eastAsia="仿宋_GB2312" w:cs="Times New Roman"/>
          <w:color w:val="auto"/>
          <w:sz w:val="32"/>
          <w:szCs w:val="32"/>
          <w:lang w:eastAsia="zh-CN"/>
        </w:rPr>
      </w:pPr>
      <w:r>
        <w:rPr>
          <w:rFonts w:hint="eastAsia" w:ascii="黑体" w:hAnsi="黑体" w:eastAsia="黑体" w:cs="黑体"/>
          <w:bCs/>
          <w:color w:val="auto"/>
          <w:sz w:val="32"/>
          <w:szCs w:val="32"/>
        </w:rPr>
        <w:t>第八条</w:t>
      </w:r>
      <w:r>
        <w:rPr>
          <w:rFonts w:hint="eastAsia" w:ascii="仿宋_GB2312" w:hAnsi="仿宋" w:eastAsia="仿宋_GB2312" w:cs="Times New Roman"/>
          <w:color w:val="auto"/>
          <w:sz w:val="32"/>
          <w:szCs w:val="32"/>
        </w:rPr>
        <w:t xml:space="preserve"> </w:t>
      </w:r>
      <w:r>
        <w:rPr>
          <w:rFonts w:hint="eastAsia" w:ascii="仿宋_GB2312" w:hAnsi="仿宋" w:eastAsia="仿宋_GB2312" w:cs="Times New Roman"/>
          <w:color w:val="auto"/>
          <w:sz w:val="32"/>
          <w:szCs w:val="32"/>
          <w:lang w:eastAsia="zh-CN"/>
        </w:rPr>
        <w:t>评价时间每年根据申报情况分期分批进行，评价专家</w:t>
      </w:r>
      <w:r>
        <w:rPr>
          <w:rFonts w:hint="eastAsia" w:ascii="仿宋_GB2312" w:hAnsi="仿宋" w:eastAsia="仿宋_GB2312" w:cs="Times New Roman"/>
          <w:color w:val="auto"/>
          <w:sz w:val="32"/>
          <w:szCs w:val="32"/>
        </w:rPr>
        <w:t>按申报</w:t>
      </w:r>
      <w:r>
        <w:rPr>
          <w:rFonts w:hint="eastAsia" w:ascii="仿宋_GB2312" w:hAnsi="仿宋" w:eastAsia="仿宋_GB2312" w:cs="Times New Roman"/>
          <w:color w:val="auto"/>
          <w:sz w:val="32"/>
          <w:szCs w:val="32"/>
          <w:lang w:eastAsia="zh-CN"/>
        </w:rPr>
        <w:t>项目行</w:t>
      </w:r>
      <w:r>
        <w:rPr>
          <w:rFonts w:hint="eastAsia" w:ascii="仿宋_GB2312" w:hAnsi="仿宋" w:eastAsia="仿宋_GB2312" w:cs="Times New Roman"/>
          <w:color w:val="auto"/>
          <w:sz w:val="32"/>
          <w:szCs w:val="32"/>
        </w:rPr>
        <w:t>业从</w:t>
      </w:r>
      <w:r>
        <w:rPr>
          <w:rFonts w:hint="eastAsia" w:ascii="仿宋_GB2312" w:hAnsi="仿宋" w:eastAsia="仿宋_GB2312" w:cs="Times New Roman"/>
          <w:color w:val="auto"/>
          <w:sz w:val="32"/>
          <w:szCs w:val="32"/>
          <w:lang w:eastAsia="zh-CN"/>
        </w:rPr>
        <w:t>建筑业</w:t>
      </w:r>
      <w:r>
        <w:rPr>
          <w:rFonts w:hint="eastAsia" w:ascii="仿宋_GB2312" w:hAnsi="仿宋" w:eastAsia="仿宋_GB2312" w:cs="Times New Roman"/>
          <w:color w:val="auto"/>
          <w:sz w:val="32"/>
          <w:szCs w:val="32"/>
        </w:rPr>
        <w:t>专家库中</w:t>
      </w:r>
      <w:r>
        <w:rPr>
          <w:rFonts w:hint="eastAsia" w:ascii="仿宋_GB2312" w:hAnsi="仿宋" w:eastAsia="仿宋_GB2312" w:cs="Times New Roman"/>
          <w:color w:val="auto"/>
          <w:sz w:val="32"/>
          <w:szCs w:val="32"/>
          <w:lang w:eastAsia="zh-CN"/>
        </w:rPr>
        <w:t>选聘</w:t>
      </w:r>
      <w:r>
        <w:rPr>
          <w:rFonts w:hint="eastAsia" w:ascii="仿宋_GB2312" w:hAnsi="仿宋" w:eastAsia="仿宋_GB2312" w:cs="Times New Roman"/>
          <w:color w:val="auto"/>
          <w:sz w:val="32"/>
          <w:szCs w:val="32"/>
        </w:rPr>
        <w:t>，组</w:t>
      </w:r>
      <w:r>
        <w:rPr>
          <w:rFonts w:hint="eastAsia" w:ascii="仿宋_GB2312" w:hAnsi="仿宋" w:eastAsia="仿宋_GB2312" w:cs="Times New Roman"/>
          <w:color w:val="auto"/>
          <w:sz w:val="32"/>
          <w:szCs w:val="32"/>
          <w:lang w:eastAsia="zh-CN"/>
        </w:rPr>
        <w:t>成</w:t>
      </w:r>
      <w:r>
        <w:rPr>
          <w:rFonts w:hint="eastAsia" w:ascii="仿宋_GB2312" w:hAnsi="仿宋" w:eastAsia="仿宋_GB2312" w:cs="Times New Roman"/>
          <w:color w:val="auto"/>
          <w:sz w:val="32"/>
          <w:szCs w:val="32"/>
        </w:rPr>
        <w:t>专家评审小组</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专家应具有高级技术职称</w:t>
      </w:r>
      <w:r>
        <w:rPr>
          <w:rFonts w:hint="eastAsia" w:ascii="仿宋_GB2312" w:hAnsi="仿宋" w:eastAsia="仿宋_GB2312" w:cs="Times New Roman"/>
          <w:color w:val="auto"/>
          <w:sz w:val="32"/>
          <w:szCs w:val="32"/>
          <w:lang w:eastAsia="zh-CN"/>
        </w:rPr>
        <w:t>且</w:t>
      </w:r>
      <w:r>
        <w:rPr>
          <w:rFonts w:hint="eastAsia" w:ascii="仿宋_GB2312" w:hAnsi="仿宋" w:eastAsia="仿宋_GB2312" w:cs="Times New Roman"/>
          <w:color w:val="auto"/>
          <w:sz w:val="32"/>
          <w:szCs w:val="32"/>
        </w:rPr>
        <w:t>有多年绿色施工或相关领域工作经验。</w:t>
      </w:r>
    </w:p>
    <w:p>
      <w:pPr>
        <w:spacing w:line="58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 xml:space="preserve">第九条 </w:t>
      </w:r>
      <w:r>
        <w:rPr>
          <w:rFonts w:hint="eastAsia" w:ascii="仿宋_GB2312" w:hAnsi="仿宋" w:eastAsia="仿宋_GB2312" w:cs="Times New Roman"/>
          <w:color w:val="auto"/>
          <w:sz w:val="32"/>
          <w:szCs w:val="32"/>
        </w:rPr>
        <w:t>评价程序：</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（一）资料审查：专家组对申请资料进行合规性审查。</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（二）现场查看：专家组对工程实际实施情况进行现场查看，并提交现场检查意见。</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（三）终评：工程项目在完成竣工验收半年内,召开专家评价会议，专家组出具终评意见。</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（四）审定：终评结果报省建协会长办公会进行审定。</w:t>
      </w:r>
    </w:p>
    <w:p>
      <w:pPr>
        <w:spacing w:line="58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（五）公示：评价结果在省建协网站上进行为期七天的公示，公示期无异议的项目，由省建协授予</w:t>
      </w:r>
      <w:r>
        <w:rPr>
          <w:rFonts w:hint="eastAsia" w:ascii="仿宋_GB2312" w:hAnsi="仿宋" w:eastAsia="仿宋_GB2312" w:cs="Times New Roman"/>
          <w:color w:val="auto"/>
          <w:sz w:val="32"/>
          <w:szCs w:val="32"/>
          <w:lang w:eastAsia="zh-CN"/>
        </w:rPr>
        <w:t>绿色建造</w:t>
      </w:r>
      <w:r>
        <w:rPr>
          <w:rFonts w:hint="eastAsia" w:ascii="仿宋_GB2312" w:hAnsi="仿宋" w:eastAsia="仿宋_GB2312" w:cs="Times New Roman"/>
          <w:color w:val="auto"/>
          <w:sz w:val="32"/>
          <w:szCs w:val="32"/>
        </w:rPr>
        <w:t>评价等级证书。</w:t>
      </w:r>
    </w:p>
    <w:p>
      <w:pPr>
        <w:spacing w:line="58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第五章  评</w:t>
      </w:r>
      <w:r>
        <w:rPr>
          <w:rFonts w:hint="eastAsia" w:ascii="黑体" w:hAnsi="黑体" w:eastAsia="黑体" w:cs="黑体"/>
          <w:bCs/>
          <w:color w:val="auto"/>
          <w:sz w:val="32"/>
          <w:szCs w:val="32"/>
          <w:lang w:eastAsia="zh-CN"/>
        </w:rPr>
        <w:t>分</w:t>
      </w:r>
      <w:r>
        <w:rPr>
          <w:rFonts w:hint="eastAsia" w:ascii="黑体" w:hAnsi="黑体" w:eastAsia="黑体" w:cs="黑体"/>
          <w:bCs/>
          <w:color w:val="auto"/>
          <w:sz w:val="32"/>
          <w:szCs w:val="32"/>
        </w:rPr>
        <w:t>办法</w:t>
      </w:r>
    </w:p>
    <w:p>
      <w:pPr>
        <w:spacing w:line="580" w:lineRule="exact"/>
        <w:ind w:firstLine="640" w:firstLineChars="200"/>
        <w:rPr>
          <w:rFonts w:ascii="仿宋_GB2312" w:hAnsi="仿宋" w:eastAsia="仿宋_GB2312" w:cs="Times New Roman"/>
          <w:color w:val="auto"/>
          <w:sz w:val="32"/>
          <w:szCs w:val="32"/>
        </w:rPr>
      </w:pPr>
      <w:r>
        <w:rPr>
          <w:rFonts w:hint="eastAsia" w:ascii="黑体" w:hAnsi="黑体" w:eastAsia="黑体" w:cs="黑体"/>
          <w:bCs/>
          <w:color w:val="auto"/>
          <w:sz w:val="32"/>
          <w:szCs w:val="32"/>
        </w:rPr>
        <w:t>第十条</w:t>
      </w:r>
      <w:r>
        <w:rPr>
          <w:rFonts w:hint="eastAsia" w:ascii="仿宋_GB2312" w:hAnsi="仿宋" w:eastAsia="仿宋_GB2312" w:cs="Times New Roman"/>
          <w:color w:val="auto"/>
          <w:sz w:val="32"/>
          <w:szCs w:val="32"/>
        </w:rPr>
        <w:t xml:space="preserve"> 依据《绿色建造技术导则（试行）》，</w:t>
      </w:r>
      <w:r>
        <w:rPr>
          <w:rFonts w:hint="eastAsia" w:ascii="仿宋_GB2312" w:hAnsi="仿宋" w:eastAsia="仿宋_GB2312" w:cs="Times New Roman"/>
          <w:color w:val="auto"/>
          <w:sz w:val="32"/>
          <w:szCs w:val="32"/>
          <w:lang w:eastAsia="zh-CN"/>
        </w:rPr>
        <w:t>评分项</w:t>
      </w:r>
      <w:r>
        <w:rPr>
          <w:rFonts w:hint="eastAsia" w:ascii="仿宋_GB2312" w:hAnsi="仿宋" w:eastAsia="仿宋_GB2312" w:cs="Times New Roman"/>
          <w:color w:val="auto"/>
          <w:sz w:val="32"/>
          <w:szCs w:val="32"/>
        </w:rPr>
        <w:t>包</w:t>
      </w:r>
      <w:r>
        <w:rPr>
          <w:rFonts w:hint="eastAsia" w:ascii="仿宋_GB2312" w:hAnsi="仿宋" w:eastAsia="仿宋_GB2312" w:cs="Times New Roman"/>
          <w:color w:val="auto"/>
          <w:sz w:val="32"/>
          <w:szCs w:val="32"/>
          <w:lang w:eastAsia="zh-CN"/>
        </w:rPr>
        <w:t>括</w:t>
      </w:r>
      <w:r>
        <w:rPr>
          <w:rFonts w:hint="eastAsia" w:ascii="仿宋_GB2312" w:hAnsi="仿宋" w:eastAsia="仿宋_GB2312" w:cs="Times New Roman"/>
          <w:color w:val="auto"/>
          <w:sz w:val="32"/>
          <w:szCs w:val="32"/>
        </w:rPr>
        <w:t>控制项、一般项和优选项，其中控制项必须全部满足且措施到位，一般项参与评分，优选项评分不计入权重。</w:t>
      </w:r>
    </w:p>
    <w:p>
      <w:pPr>
        <w:spacing w:line="580" w:lineRule="exact"/>
        <w:ind w:firstLine="640" w:firstLineChars="200"/>
        <w:rPr>
          <w:rFonts w:ascii="仿宋_GB2312" w:hAnsi="仿宋" w:eastAsia="仿宋_GB2312" w:cs="Times New Roman"/>
          <w:color w:val="auto"/>
          <w:sz w:val="32"/>
          <w:szCs w:val="32"/>
        </w:rPr>
      </w:pPr>
      <w:r>
        <w:rPr>
          <w:rFonts w:hint="eastAsia" w:ascii="黑体" w:hAnsi="黑体" w:eastAsia="黑体" w:cs="黑体"/>
          <w:bCs/>
          <w:color w:val="auto"/>
          <w:sz w:val="32"/>
          <w:szCs w:val="32"/>
        </w:rPr>
        <w:t>第十一条</w:t>
      </w:r>
      <w:r>
        <w:rPr>
          <w:rFonts w:hint="eastAsia" w:ascii="仿宋_GB2312" w:hAnsi="仿宋" w:eastAsia="仿宋_GB2312" w:cs="Times New Roman"/>
          <w:color w:val="auto"/>
          <w:sz w:val="32"/>
          <w:szCs w:val="32"/>
        </w:rPr>
        <w:t xml:space="preserve"> 绿色建造设计水平评价适用于建筑工程，其他类型项目参照执行。</w:t>
      </w:r>
    </w:p>
    <w:p>
      <w:pPr>
        <w:spacing w:line="580" w:lineRule="exact"/>
        <w:ind w:firstLine="640" w:firstLineChars="200"/>
        <w:rPr>
          <w:rFonts w:ascii="仿宋_GB2312" w:hAnsi="仿宋" w:eastAsia="仿宋_GB2312" w:cs="Times New Roman"/>
          <w:color w:val="auto"/>
          <w:sz w:val="32"/>
          <w:szCs w:val="32"/>
        </w:rPr>
      </w:pPr>
      <w:r>
        <w:rPr>
          <w:rFonts w:hint="eastAsia" w:ascii="黑体" w:hAnsi="黑体" w:eastAsia="黑体" w:cs="黑体"/>
          <w:bCs/>
          <w:color w:val="auto"/>
          <w:sz w:val="32"/>
          <w:szCs w:val="32"/>
        </w:rPr>
        <w:t>第十二条</w:t>
      </w:r>
      <w:r>
        <w:rPr>
          <w:rFonts w:hint="eastAsia" w:ascii="仿宋_GB2312" w:hAnsi="仿宋" w:eastAsia="仿宋_GB2312" w:cs="Times New Roman"/>
          <w:color w:val="auto"/>
          <w:sz w:val="32"/>
          <w:szCs w:val="32"/>
        </w:rPr>
        <w:t xml:space="preserve"> 各部分权重</w:t>
      </w:r>
    </w:p>
    <w:p>
      <w:pPr>
        <w:pStyle w:val="2"/>
        <w:rPr>
          <w:color w:val="auto"/>
          <w:sz w:val="32"/>
          <w:szCs w:val="32"/>
        </w:rPr>
      </w:pPr>
    </w:p>
    <w:p>
      <w:pPr>
        <w:spacing w:line="360" w:lineRule="auto"/>
        <w:ind w:firstLine="640" w:firstLineChars="200"/>
        <w:jc w:val="center"/>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绿色建造评价四部分权重表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名称</w:t>
            </w:r>
          </w:p>
        </w:tc>
        <w:tc>
          <w:tcPr>
            <w:tcW w:w="2130"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绿色策划</w:t>
            </w:r>
          </w:p>
        </w:tc>
        <w:tc>
          <w:tcPr>
            <w:tcW w:w="2131"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绿色设计</w:t>
            </w:r>
          </w:p>
        </w:tc>
        <w:tc>
          <w:tcPr>
            <w:tcW w:w="2131"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绿色施工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权重</w:t>
            </w:r>
          </w:p>
        </w:tc>
        <w:tc>
          <w:tcPr>
            <w:tcW w:w="2130"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0.2</w:t>
            </w:r>
          </w:p>
        </w:tc>
        <w:tc>
          <w:tcPr>
            <w:tcW w:w="2131"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0.3</w:t>
            </w:r>
          </w:p>
        </w:tc>
        <w:tc>
          <w:tcPr>
            <w:tcW w:w="2131" w:type="dxa"/>
            <w:vAlign w:val="center"/>
          </w:tcPr>
          <w:p>
            <w:pPr>
              <w:jc w:val="center"/>
              <w:rPr>
                <w:rFonts w:ascii="宋体" w:hAnsi="宋体" w:cs="宋体"/>
                <w:color w:val="auto"/>
                <w:kern w:val="0"/>
                <w:sz w:val="32"/>
                <w:szCs w:val="32"/>
              </w:rPr>
            </w:pPr>
            <w:r>
              <w:rPr>
                <w:rFonts w:hint="eastAsia" w:ascii="宋体" w:hAnsi="宋体" w:cs="宋体"/>
                <w:color w:val="auto"/>
                <w:kern w:val="0"/>
                <w:sz w:val="32"/>
                <w:szCs w:val="32"/>
              </w:rPr>
              <w:t>0.5</w:t>
            </w:r>
          </w:p>
        </w:tc>
      </w:tr>
    </w:tbl>
    <w:p>
      <w:pPr>
        <w:spacing w:before="156" w:beforeLines="50"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总分按照下式计算，满分1</w:t>
      </w:r>
      <w:r>
        <w:rPr>
          <w:rFonts w:hint="eastAsia" w:ascii="仿宋_GB2312" w:hAnsi="仿宋" w:eastAsia="仿宋_GB2312" w:cs="Times New Roman"/>
          <w:color w:val="auto"/>
          <w:sz w:val="32"/>
          <w:szCs w:val="32"/>
          <w:lang w:val="en-US" w:eastAsia="zh-CN"/>
        </w:rPr>
        <w:t>0</w:t>
      </w:r>
      <w:r>
        <w:rPr>
          <w:rFonts w:hint="eastAsia" w:ascii="仿宋_GB2312" w:hAnsi="仿宋" w:eastAsia="仿宋_GB2312" w:cs="Times New Roman"/>
          <w:color w:val="auto"/>
          <w:sz w:val="32"/>
          <w:szCs w:val="32"/>
        </w:rPr>
        <w:t>0分：</w:t>
      </w:r>
    </w:p>
    <w:p>
      <w:pPr>
        <w:spacing w:before="156" w:beforeLines="50" w:line="360" w:lineRule="auto"/>
        <w:jc w:val="center"/>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Q=Q</w:t>
      </w:r>
      <w:r>
        <w:rPr>
          <w:rFonts w:hint="eastAsia" w:ascii="仿宋_GB2312" w:hAnsi="仿宋" w:eastAsia="仿宋_GB2312" w:cs="Times New Roman"/>
          <w:color w:val="auto"/>
          <w:sz w:val="32"/>
          <w:szCs w:val="32"/>
          <w:vertAlign w:val="subscript"/>
        </w:rPr>
        <w:t>1</w:t>
      </w:r>
      <w:r>
        <w:rPr>
          <w:rFonts w:hint="eastAsia" w:ascii="仿宋_GB2312" w:hAnsi="仿宋" w:eastAsia="仿宋_GB2312" w:cs="Times New Roman"/>
          <w:color w:val="auto"/>
          <w:sz w:val="32"/>
          <w:szCs w:val="32"/>
        </w:rPr>
        <w:t>*0.2+Q</w:t>
      </w:r>
      <w:r>
        <w:rPr>
          <w:rFonts w:hint="eastAsia" w:ascii="仿宋_GB2312" w:hAnsi="仿宋" w:eastAsia="仿宋_GB2312" w:cs="Times New Roman"/>
          <w:color w:val="auto"/>
          <w:sz w:val="32"/>
          <w:szCs w:val="32"/>
          <w:vertAlign w:val="subscript"/>
        </w:rPr>
        <w:t>2</w:t>
      </w:r>
      <w:r>
        <w:rPr>
          <w:rFonts w:hint="eastAsia" w:ascii="仿宋_GB2312" w:hAnsi="仿宋" w:eastAsia="仿宋_GB2312" w:cs="Times New Roman"/>
          <w:color w:val="auto"/>
          <w:sz w:val="32"/>
          <w:szCs w:val="32"/>
        </w:rPr>
        <w:t>*0.3+Q</w:t>
      </w:r>
      <w:r>
        <w:rPr>
          <w:rFonts w:hint="eastAsia" w:ascii="仿宋_GB2312" w:hAnsi="仿宋" w:eastAsia="仿宋_GB2312" w:cs="Times New Roman"/>
          <w:color w:val="auto"/>
          <w:sz w:val="32"/>
          <w:szCs w:val="32"/>
          <w:vertAlign w:val="subscript"/>
        </w:rPr>
        <w:t>3</w:t>
      </w:r>
      <w:r>
        <w:rPr>
          <w:rFonts w:hint="eastAsia" w:ascii="仿宋_GB2312" w:hAnsi="仿宋" w:eastAsia="仿宋_GB2312" w:cs="Times New Roman"/>
          <w:color w:val="auto"/>
          <w:sz w:val="32"/>
          <w:szCs w:val="32"/>
        </w:rPr>
        <w:t>*0.5+Y</w:t>
      </w:r>
    </w:p>
    <w:p>
      <w:pPr>
        <w:spacing w:before="156" w:beforeLines="50"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其中：Q-绿色建造评价总得分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四舍五入，保留一位小数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p>
    <w:p>
      <w:pPr>
        <w:spacing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Q</w:t>
      </w:r>
      <w:r>
        <w:rPr>
          <w:rFonts w:hint="eastAsia" w:ascii="仿宋_GB2312" w:hAnsi="仿宋" w:eastAsia="仿宋_GB2312" w:cs="Times New Roman"/>
          <w:color w:val="auto"/>
          <w:sz w:val="32"/>
          <w:szCs w:val="32"/>
          <w:vertAlign w:val="subscript"/>
        </w:rPr>
        <w:t>1</w:t>
      </w:r>
      <w:r>
        <w:rPr>
          <w:rFonts w:hint="eastAsia" w:ascii="仿宋_GB2312" w:hAnsi="仿宋" w:eastAsia="仿宋_GB2312" w:cs="Times New Roman"/>
          <w:color w:val="auto"/>
          <w:sz w:val="32"/>
          <w:szCs w:val="32"/>
        </w:rPr>
        <w:t>-依据绿色策划评分表计算的绿色策划一般项得分；</w:t>
      </w:r>
    </w:p>
    <w:p>
      <w:pPr>
        <w:spacing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Q</w:t>
      </w:r>
      <w:r>
        <w:rPr>
          <w:rFonts w:hint="eastAsia" w:ascii="仿宋_GB2312" w:hAnsi="仿宋" w:eastAsia="仿宋_GB2312" w:cs="Times New Roman"/>
          <w:color w:val="auto"/>
          <w:sz w:val="32"/>
          <w:szCs w:val="32"/>
          <w:vertAlign w:val="subscript"/>
        </w:rPr>
        <w:t>2</w:t>
      </w:r>
      <w:r>
        <w:rPr>
          <w:rFonts w:hint="eastAsia" w:ascii="仿宋_GB2312" w:hAnsi="仿宋" w:eastAsia="仿宋_GB2312" w:cs="Times New Roman"/>
          <w:color w:val="auto"/>
          <w:sz w:val="32"/>
          <w:szCs w:val="32"/>
        </w:rPr>
        <w:t>-依据绿色设计评分表计算的绿色设计一般项得分；</w:t>
      </w:r>
    </w:p>
    <w:p>
      <w:pPr>
        <w:spacing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Q</w:t>
      </w:r>
      <w:r>
        <w:rPr>
          <w:rFonts w:hint="eastAsia" w:ascii="仿宋_GB2312" w:hAnsi="仿宋" w:eastAsia="仿宋_GB2312" w:cs="Times New Roman"/>
          <w:color w:val="auto"/>
          <w:sz w:val="32"/>
          <w:szCs w:val="32"/>
          <w:vertAlign w:val="subscript"/>
        </w:rPr>
        <w:t>3</w:t>
      </w:r>
      <w:r>
        <w:rPr>
          <w:rFonts w:hint="eastAsia" w:ascii="仿宋_GB2312" w:hAnsi="仿宋" w:eastAsia="仿宋_GB2312" w:cs="Times New Roman"/>
          <w:color w:val="auto"/>
          <w:sz w:val="32"/>
          <w:szCs w:val="32"/>
        </w:rPr>
        <w:t>-依据绿色施工评分表计算的绿色施工一般项得分；</w:t>
      </w:r>
    </w:p>
    <w:p>
      <w:pPr>
        <w:numPr>
          <w:ilvl w:val="0"/>
          <w:numId w:val="1"/>
        </w:numPr>
        <w:spacing w:line="360" w:lineRule="auto"/>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依据绿色策划、设计、施工评分表计算的优选项合计得分。</w:t>
      </w:r>
    </w:p>
    <w:p>
      <w:pPr>
        <w:pStyle w:val="22"/>
        <w:spacing w:line="360" w:lineRule="auto"/>
        <w:ind w:firstLine="560"/>
        <w:rPr>
          <w:rFonts w:ascii="仿宋_GB2312" w:hAnsi="仿宋" w:eastAsia="仿宋_GB2312" w:cs="Times New Roman"/>
          <w:color w:val="auto"/>
          <w:sz w:val="32"/>
          <w:szCs w:val="32"/>
        </w:rPr>
      </w:pPr>
      <w:r>
        <w:rPr>
          <w:rFonts w:hint="eastAsia" w:ascii="黑体" w:hAnsi="黑体" w:eastAsia="黑体" w:cs="黑体"/>
          <w:bCs/>
          <w:color w:val="auto"/>
          <w:sz w:val="32"/>
          <w:szCs w:val="32"/>
        </w:rPr>
        <w:t xml:space="preserve">第十三条 </w:t>
      </w:r>
      <w:r>
        <w:rPr>
          <w:rFonts w:hint="eastAsia" w:ascii="仿宋_GB2312" w:hAnsi="仿宋" w:eastAsia="仿宋_GB2312" w:cs="Times New Roman"/>
          <w:color w:val="auto"/>
          <w:sz w:val="32"/>
          <w:szCs w:val="32"/>
        </w:rPr>
        <w:t>绿色策划、绿色设计和绿色施工控制项全部满足后，根据一般项与优选项总得分，确定绿色建造评价等级，得分不小于80分为“一等成果”，小于80分不小于</w:t>
      </w:r>
      <w:r>
        <w:rPr>
          <w:rFonts w:hint="eastAsia" w:ascii="仿宋_GB2312" w:hAnsi="仿宋" w:eastAsia="仿宋_GB2312" w:cs="Times New Roman"/>
          <w:color w:val="auto"/>
          <w:sz w:val="32"/>
          <w:szCs w:val="32"/>
          <w:lang w:val="en-US" w:eastAsia="zh-CN"/>
        </w:rPr>
        <w:t>7</w:t>
      </w:r>
      <w:r>
        <w:rPr>
          <w:rFonts w:hint="eastAsia" w:ascii="仿宋_GB2312" w:hAnsi="仿宋" w:eastAsia="仿宋_GB2312" w:cs="Times New Roman"/>
          <w:color w:val="auto"/>
          <w:sz w:val="32"/>
          <w:szCs w:val="32"/>
        </w:rPr>
        <w:t>0分为“二等成果”，小于</w:t>
      </w:r>
      <w:r>
        <w:rPr>
          <w:rFonts w:hint="eastAsia" w:ascii="仿宋_GB2312" w:hAnsi="仿宋" w:eastAsia="仿宋_GB2312" w:cs="Times New Roman"/>
          <w:color w:val="auto"/>
          <w:sz w:val="32"/>
          <w:szCs w:val="32"/>
          <w:lang w:val="en-US" w:eastAsia="zh-CN"/>
        </w:rPr>
        <w:t>7</w:t>
      </w:r>
      <w:r>
        <w:rPr>
          <w:rFonts w:hint="eastAsia" w:ascii="仿宋_GB2312" w:hAnsi="仿宋" w:eastAsia="仿宋_GB2312" w:cs="Times New Roman"/>
          <w:color w:val="auto"/>
          <w:sz w:val="32"/>
          <w:szCs w:val="32"/>
        </w:rPr>
        <w:t>0分</w:t>
      </w:r>
      <w:r>
        <w:rPr>
          <w:rFonts w:hint="eastAsia" w:ascii="仿宋_GB2312" w:hAnsi="仿宋" w:eastAsia="仿宋_GB2312" w:cs="Times New Roman"/>
          <w:color w:val="auto"/>
          <w:sz w:val="32"/>
          <w:szCs w:val="32"/>
          <w:lang w:val="en-US" w:eastAsia="zh-CN"/>
        </w:rPr>
        <w:t>不</w:t>
      </w:r>
      <w:r>
        <w:rPr>
          <w:rFonts w:hint="eastAsia" w:ascii="仿宋_GB2312" w:hAnsi="仿宋" w:eastAsia="仿宋_GB2312" w:cs="Times New Roman"/>
          <w:color w:val="auto"/>
          <w:sz w:val="32"/>
          <w:szCs w:val="32"/>
        </w:rPr>
        <w:t>小于60分为“三等成果”。</w:t>
      </w:r>
    </w:p>
    <w:p>
      <w:pPr>
        <w:spacing w:before="156" w:beforeLines="50" w:line="360" w:lineRule="auto"/>
        <w:ind w:firstLine="643" w:firstLineChars="200"/>
        <w:jc w:val="left"/>
        <w:rPr>
          <w:rFonts w:hint="eastAsia" w:ascii="仿宋_GB2312" w:hAnsi="仿宋" w:eastAsia="仿宋_GB2312" w:cs="Times New Roman"/>
          <w:b/>
          <w:color w:val="auto"/>
          <w:sz w:val="32"/>
          <w:szCs w:val="32"/>
        </w:rPr>
      </w:pP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附件1</w:t>
      </w:r>
      <w:r>
        <w:rPr>
          <w:rFonts w:hint="eastAsia" w:ascii="仿宋_GB2312" w:hAnsi="仿宋" w:eastAsia="仿宋_GB2312" w:cs="Times New Roman"/>
          <w:color w:val="auto"/>
          <w:sz w:val="32"/>
          <w:szCs w:val="32"/>
        </w:rPr>
        <w:t>：绿色建造评价提供资料清单</w:t>
      </w: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附件2：</w:t>
      </w:r>
      <w:r>
        <w:rPr>
          <w:rFonts w:hint="eastAsia" w:ascii="仿宋_GB2312" w:hAnsi="仿宋" w:eastAsia="仿宋_GB2312" w:cs="Times New Roman"/>
          <w:color w:val="auto"/>
          <w:sz w:val="32"/>
          <w:szCs w:val="32"/>
        </w:rPr>
        <w:t>绿色策划评分表</w:t>
      </w: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附件3</w:t>
      </w:r>
      <w:r>
        <w:rPr>
          <w:rFonts w:hint="eastAsia" w:ascii="仿宋_GB2312" w:hAnsi="仿宋" w:eastAsia="仿宋_GB2312" w:cs="Times New Roman"/>
          <w:color w:val="auto"/>
          <w:sz w:val="32"/>
          <w:szCs w:val="32"/>
        </w:rPr>
        <w:t>：绿色设计评分表</w:t>
      </w: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附件4：</w:t>
      </w:r>
      <w:r>
        <w:rPr>
          <w:rFonts w:hint="eastAsia" w:ascii="仿宋_GB2312" w:hAnsi="仿宋" w:eastAsia="仿宋_GB2312" w:cs="Times New Roman"/>
          <w:color w:val="auto"/>
          <w:sz w:val="32"/>
          <w:szCs w:val="32"/>
        </w:rPr>
        <w:t>绿色施工评分表</w:t>
      </w: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附件5：</w:t>
      </w:r>
      <w:r>
        <w:rPr>
          <w:rFonts w:hint="eastAsia" w:ascii="仿宋_GB2312" w:hAnsi="仿宋" w:eastAsia="仿宋_GB2312" w:cs="Times New Roman"/>
          <w:color w:val="auto"/>
          <w:sz w:val="32"/>
          <w:szCs w:val="32"/>
        </w:rPr>
        <w:t>优选项评分表</w:t>
      </w:r>
    </w:p>
    <w:p>
      <w:pPr>
        <w:spacing w:before="156" w:beforeLines="50" w:line="360" w:lineRule="auto"/>
        <w:ind w:firstLine="643" w:firstLineChars="200"/>
        <w:jc w:val="left"/>
        <w:rPr>
          <w:rFonts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附件6：</w:t>
      </w:r>
      <w:r>
        <w:rPr>
          <w:rFonts w:hint="eastAsia" w:ascii="仿宋_GB2312" w:hAnsi="仿宋" w:eastAsia="仿宋_GB2312" w:cs="Times New Roman"/>
          <w:color w:val="auto"/>
          <w:sz w:val="32"/>
          <w:szCs w:val="32"/>
        </w:rPr>
        <w:t>评价结果汇总表</w:t>
      </w:r>
    </w:p>
    <w:p>
      <w:pPr>
        <w:rPr>
          <w:rFonts w:ascii="宋体" w:hAnsi="宋体" w:cs="宋体"/>
          <w:color w:val="auto"/>
          <w:kern w:val="0"/>
          <w:sz w:val="24"/>
        </w:rPr>
      </w:pPr>
      <w:r>
        <w:rPr>
          <w:rFonts w:hint="eastAsia" w:ascii="宋体" w:hAnsi="宋体" w:cs="宋体"/>
          <w:color w:val="auto"/>
          <w:kern w:val="0"/>
          <w:sz w:val="24"/>
        </w:rPr>
        <w:br w:type="page"/>
      </w:r>
    </w:p>
    <w:p>
      <w:pPr>
        <w:spacing w:before="240" w:line="358" w:lineRule="auto"/>
        <w:ind w:right="91"/>
        <w:rPr>
          <w:rFonts w:ascii="黑体" w:hAnsi="黑体" w:eastAsia="黑体" w:cs="黑体"/>
          <w:b/>
          <w:color w:val="auto"/>
          <w:kern w:val="0"/>
          <w:sz w:val="28"/>
          <w:szCs w:val="28"/>
        </w:rPr>
      </w:pPr>
      <w:r>
        <w:rPr>
          <w:rFonts w:hint="eastAsia" w:ascii="黑体" w:hAnsi="黑体" w:eastAsia="黑体" w:cs="黑体"/>
          <w:b/>
          <w:color w:val="auto"/>
          <w:kern w:val="0"/>
          <w:sz w:val="28"/>
          <w:szCs w:val="28"/>
        </w:rPr>
        <w:t>附件1</w:t>
      </w:r>
    </w:p>
    <w:p>
      <w:pPr>
        <w:spacing w:before="240" w:after="156" w:afterLines="50" w:line="358" w:lineRule="auto"/>
        <w:ind w:right="91"/>
        <w:jc w:val="center"/>
        <w:rPr>
          <w:rFonts w:ascii="宋体" w:hAnsi="宋体"/>
          <w:b/>
          <w:color w:val="auto"/>
          <w:kern w:val="0"/>
          <w:sz w:val="32"/>
          <w:szCs w:val="32"/>
        </w:rPr>
      </w:pPr>
      <w:r>
        <w:rPr>
          <w:rFonts w:hint="eastAsia" w:ascii="宋体" w:hAnsi="宋体"/>
          <w:b/>
          <w:color w:val="auto"/>
          <w:kern w:val="0"/>
          <w:sz w:val="32"/>
          <w:szCs w:val="32"/>
        </w:rPr>
        <w:t>资料清单</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74"/>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0" w:type="dxa"/>
            <w:gridSpan w:val="2"/>
            <w:shd w:val="clear" w:color="auto" w:fill="auto"/>
            <w:vAlign w:val="center"/>
          </w:tcPr>
          <w:p>
            <w:pPr>
              <w:snapToGrid w:val="0"/>
              <w:jc w:val="center"/>
              <w:rPr>
                <w:rFonts w:cs="宋体" w:asciiTheme="minorEastAsia" w:hAnsiTheme="minorEastAsia"/>
                <w:b/>
                <w:color w:val="auto"/>
                <w:sz w:val="24"/>
              </w:rPr>
            </w:pPr>
            <w:r>
              <w:rPr>
                <w:rFonts w:hint="eastAsia" w:cs="宋体" w:asciiTheme="minorEastAsia" w:hAnsiTheme="minorEastAsia"/>
                <w:b/>
                <w:color w:val="auto"/>
                <w:sz w:val="24"/>
                <w:lang w:eastAsia="zh-CN"/>
              </w:rPr>
              <w:t>资料</w:t>
            </w:r>
            <w:r>
              <w:rPr>
                <w:rFonts w:cs="宋体" w:asciiTheme="minorEastAsia" w:hAnsiTheme="minorEastAsia"/>
                <w:b/>
                <w:color w:val="auto"/>
                <w:sz w:val="24"/>
              </w:rPr>
              <w:t>分类</w:t>
            </w:r>
          </w:p>
        </w:tc>
        <w:tc>
          <w:tcPr>
            <w:tcW w:w="6610" w:type="dxa"/>
            <w:shd w:val="clear" w:color="auto" w:fill="auto"/>
            <w:vAlign w:val="center"/>
          </w:tcPr>
          <w:p>
            <w:pPr>
              <w:snapToGrid w:val="0"/>
              <w:jc w:val="center"/>
              <w:rPr>
                <w:rFonts w:cs="宋体" w:asciiTheme="minorEastAsia" w:hAnsiTheme="minorEastAsia"/>
                <w:b/>
                <w:color w:val="auto"/>
                <w:sz w:val="24"/>
              </w:rPr>
            </w:pPr>
            <w:r>
              <w:rPr>
                <w:rFonts w:hint="eastAsia" w:cs="宋体" w:asciiTheme="minorEastAsia" w:hAnsiTheme="minorEastAsia"/>
                <w:b/>
                <w:color w:val="auto"/>
                <w:sz w:val="24"/>
                <w:lang w:eastAsia="zh-CN"/>
              </w:rPr>
              <w:t>资料</w:t>
            </w:r>
            <w:r>
              <w:rPr>
                <w:rFonts w:cs="宋体" w:asciiTheme="minorEastAsia" w:hAnsiTheme="minorEastAsia"/>
                <w:b/>
                <w:color w:val="auto"/>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6" w:type="dxa"/>
            <w:vMerge w:val="restart"/>
            <w:vAlign w:val="center"/>
          </w:tcPr>
          <w:p>
            <w:pPr>
              <w:snapToGrid w:val="0"/>
              <w:jc w:val="center"/>
              <w:rPr>
                <w:rFonts w:cs="宋体" w:asciiTheme="minorEastAsia" w:hAnsiTheme="minorEastAsia"/>
                <w:color w:val="auto"/>
                <w:sz w:val="24"/>
              </w:rPr>
            </w:pPr>
            <w:r>
              <w:rPr>
                <w:rFonts w:cs="宋体" w:asciiTheme="minorEastAsia" w:hAnsiTheme="minorEastAsia"/>
                <w:color w:val="auto"/>
                <w:sz w:val="24"/>
              </w:rPr>
              <w:t>基本资料</w:t>
            </w:r>
          </w:p>
        </w:tc>
        <w:tc>
          <w:tcPr>
            <w:tcW w:w="1774" w:type="dxa"/>
            <w:vMerge w:val="restart"/>
            <w:vAlign w:val="center"/>
          </w:tcPr>
          <w:p>
            <w:pPr>
              <w:snapToGrid w:val="0"/>
              <w:jc w:val="center"/>
              <w:rPr>
                <w:rFonts w:cs="宋体" w:asciiTheme="minorEastAsia" w:hAnsiTheme="minorEastAsia"/>
                <w:color w:val="auto"/>
                <w:sz w:val="24"/>
              </w:rPr>
            </w:pPr>
            <w:r>
              <w:rPr>
                <w:rFonts w:hint="eastAsia" w:cs="宋体" w:asciiTheme="minorEastAsia" w:hAnsiTheme="minorEastAsia"/>
                <w:color w:val="auto"/>
                <w:sz w:val="24"/>
                <w:lang w:eastAsia="zh-CN"/>
              </w:rPr>
              <w:t>施工</w:t>
            </w:r>
            <w:r>
              <w:rPr>
                <w:rFonts w:cs="宋体" w:asciiTheme="minorEastAsia" w:hAnsiTheme="minorEastAsia"/>
                <w:color w:val="auto"/>
                <w:sz w:val="24"/>
              </w:rPr>
              <w:t>审</w:t>
            </w:r>
          </w:p>
          <w:p>
            <w:pPr>
              <w:snapToGrid w:val="0"/>
              <w:jc w:val="center"/>
              <w:rPr>
                <w:rFonts w:cs="宋体" w:asciiTheme="minorEastAsia" w:hAnsiTheme="minorEastAsia"/>
                <w:color w:val="auto"/>
                <w:sz w:val="24"/>
              </w:rPr>
            </w:pPr>
            <w:r>
              <w:rPr>
                <w:rFonts w:cs="宋体" w:asciiTheme="minorEastAsia" w:hAnsiTheme="minorEastAsia"/>
                <w:color w:val="auto"/>
                <w:sz w:val="24"/>
              </w:rPr>
              <w:t>批文件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施工</w:t>
            </w:r>
            <w:r>
              <w:rPr>
                <w:rFonts w:hint="eastAsia" w:cs="宋体" w:asciiTheme="minorEastAsia" w:hAnsiTheme="minorEastAsia"/>
                <w:color w:val="auto"/>
                <w:sz w:val="24"/>
                <w:lang w:eastAsia="zh-CN"/>
              </w:rPr>
              <w:t>许可</w:t>
            </w:r>
            <w:r>
              <w:rPr>
                <w:rFonts w:hint="eastAsia" w:cs="宋体" w:asciiTheme="minorEastAsia" w:hAnsiTheme="minorEastAsia"/>
                <w:color w:val="auto"/>
                <w:sz w:val="24"/>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center"/>
              <w:rPr>
                <w:rFonts w:cs="宋体" w:asciiTheme="minorEastAsia" w:hAnsiTheme="minorEastAsia"/>
                <w:color w:val="auto"/>
                <w:sz w:val="24"/>
              </w:rPr>
            </w:pPr>
          </w:p>
        </w:tc>
        <w:tc>
          <w:tcPr>
            <w:tcW w:w="6610" w:type="dxa"/>
            <w:vAlign w:val="center"/>
          </w:tcPr>
          <w:p>
            <w:pPr>
              <w:snapToGrid w:val="0"/>
              <w:jc w:val="left"/>
              <w:rPr>
                <w:rFonts w:hint="eastAsia" w:cs="宋体" w:asciiTheme="minorEastAsia" w:hAnsiTheme="minorEastAsia" w:eastAsiaTheme="minorEastAsia"/>
                <w:color w:val="auto"/>
                <w:sz w:val="24"/>
                <w:lang w:eastAsia="zh-CN"/>
              </w:rPr>
            </w:pPr>
            <w:r>
              <w:rPr>
                <w:rFonts w:hint="eastAsia" w:cs="宋体" w:asciiTheme="minorEastAsia" w:hAnsiTheme="minorEastAsia"/>
                <w:color w:val="auto"/>
                <w:sz w:val="24"/>
              </w:rPr>
              <w:t>施工图审查</w:t>
            </w:r>
            <w:r>
              <w:rPr>
                <w:rFonts w:hint="eastAsia" w:cs="宋体" w:asciiTheme="minorEastAsia" w:hAnsiTheme="minorEastAsia"/>
                <w:color w:val="auto"/>
                <w:sz w:val="24"/>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restart"/>
            <w:vAlign w:val="center"/>
          </w:tcPr>
          <w:p>
            <w:pPr>
              <w:snapToGrid w:val="0"/>
              <w:jc w:val="center"/>
              <w:rPr>
                <w:rFonts w:cs="宋体" w:asciiTheme="minorEastAsia" w:hAnsiTheme="minorEastAsia"/>
                <w:color w:val="auto"/>
                <w:sz w:val="24"/>
              </w:rPr>
            </w:pPr>
            <w:r>
              <w:rPr>
                <w:rFonts w:cs="宋体" w:asciiTheme="minorEastAsia" w:hAnsiTheme="minorEastAsia"/>
                <w:color w:val="auto"/>
                <w:sz w:val="24"/>
              </w:rPr>
              <w:t>建设</w:t>
            </w:r>
            <w:r>
              <w:rPr>
                <w:rFonts w:hint="eastAsia" w:cs="宋体" w:asciiTheme="minorEastAsia" w:hAnsiTheme="minorEastAsia"/>
                <w:color w:val="auto"/>
                <w:sz w:val="24"/>
              </w:rPr>
              <w:t>、</w:t>
            </w:r>
            <w:r>
              <w:rPr>
                <w:rFonts w:cs="宋体" w:asciiTheme="minorEastAsia" w:hAnsiTheme="minorEastAsia"/>
                <w:color w:val="auto"/>
                <w:sz w:val="24"/>
              </w:rPr>
              <w:t>设计</w:t>
            </w:r>
            <w:r>
              <w:rPr>
                <w:rFonts w:hint="eastAsia" w:cs="宋体" w:asciiTheme="minorEastAsia" w:hAnsiTheme="minorEastAsia"/>
                <w:color w:val="auto"/>
                <w:sz w:val="24"/>
              </w:rPr>
              <w:t>、施工、监理</w:t>
            </w:r>
          </w:p>
          <w:p>
            <w:pPr>
              <w:snapToGrid w:val="0"/>
              <w:jc w:val="center"/>
              <w:rPr>
                <w:rFonts w:cs="宋体" w:asciiTheme="minorEastAsia" w:hAnsiTheme="minorEastAsia"/>
                <w:color w:val="auto"/>
                <w:sz w:val="24"/>
              </w:rPr>
            </w:pPr>
            <w:r>
              <w:rPr>
                <w:rFonts w:cs="宋体" w:asciiTheme="minorEastAsia" w:hAnsiTheme="minorEastAsia"/>
                <w:color w:val="auto"/>
                <w:sz w:val="24"/>
              </w:rPr>
              <w:t>单位文件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各</w:t>
            </w:r>
            <w:r>
              <w:rPr>
                <w:rFonts w:cs="宋体" w:asciiTheme="minorEastAsia" w:hAnsiTheme="minorEastAsia"/>
                <w:color w:val="auto"/>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center"/>
              <w:rPr>
                <w:rFonts w:cs="宋体" w:asciiTheme="minorEastAsia" w:hAnsiTheme="minorEastAsia"/>
                <w:color w:val="auto"/>
                <w:sz w:val="24"/>
              </w:rPr>
            </w:pPr>
          </w:p>
        </w:tc>
        <w:tc>
          <w:tcPr>
            <w:tcW w:w="6610" w:type="dxa"/>
            <w:vAlign w:val="center"/>
          </w:tcPr>
          <w:p>
            <w:pPr>
              <w:snapToGrid w:val="0"/>
              <w:rPr>
                <w:rFonts w:cs="宋体" w:asciiTheme="minorEastAsia" w:hAnsiTheme="minorEastAsia"/>
                <w:color w:val="auto"/>
                <w:sz w:val="24"/>
              </w:rPr>
            </w:pPr>
            <w:r>
              <w:rPr>
                <w:rFonts w:hint="eastAsia" w:cs="宋体" w:asciiTheme="minorEastAsia" w:hAnsiTheme="minorEastAsia"/>
                <w:color w:val="auto"/>
                <w:sz w:val="24"/>
              </w:rPr>
              <w:t>各单位相应</w:t>
            </w:r>
            <w:r>
              <w:rPr>
                <w:rFonts w:cs="宋体" w:asciiTheme="minorEastAsia" w:hAnsiTheme="minorEastAsia"/>
                <w:color w:val="auto"/>
                <w:sz w:val="24"/>
              </w:rPr>
              <w:t>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napToGrid w:val="0"/>
              <w:jc w:val="center"/>
              <w:rPr>
                <w:rFonts w:cs="宋体" w:asciiTheme="minorEastAsia" w:hAnsiTheme="minorEastAsia"/>
                <w:color w:val="auto"/>
                <w:sz w:val="24"/>
              </w:rPr>
            </w:pPr>
            <w:r>
              <w:rPr>
                <w:rFonts w:hint="eastAsia" w:cs="宋体" w:asciiTheme="minorEastAsia" w:hAnsiTheme="minorEastAsia"/>
                <w:color w:val="auto"/>
                <w:sz w:val="24"/>
              </w:rPr>
              <w:t>技术资料</w:t>
            </w:r>
          </w:p>
        </w:tc>
        <w:tc>
          <w:tcPr>
            <w:tcW w:w="1774" w:type="dxa"/>
            <w:vMerge w:val="restart"/>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申报文件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建设工程绿色建造水平评价申报表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绿色建造汇报PPT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优选项评分表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评价结果汇总表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restart"/>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绿色策划文件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绿色策划评分表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申报单位提供书面绿色建造策划过程情况报告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绿色建造策划方案（可附在情况报告内）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restart"/>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绿色设计文件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绿色设计评分表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设计单位提供书面绿色建造设计情况报告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restart"/>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绿色施工文件</w:t>
            </w: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绿色施工评分表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施工单位提供书面绿色建造施工情况报告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hint="eastAsia" w:cs="宋体" w:asciiTheme="minorEastAsia" w:hAnsiTheme="minorEastAsia" w:eastAsiaTheme="minorEastAsia"/>
                <w:color w:val="auto"/>
                <w:sz w:val="24"/>
                <w:lang w:eastAsia="zh-CN"/>
              </w:rPr>
            </w:pPr>
            <w:r>
              <w:rPr>
                <w:rFonts w:hint="eastAsia" w:cs="宋体" w:asciiTheme="minorEastAsia" w:hAnsiTheme="minorEastAsia"/>
                <w:color w:val="auto"/>
                <w:sz w:val="24"/>
                <w:lang w:eastAsia="zh-CN"/>
              </w:rPr>
              <w:t>绿色施工相关记录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restart"/>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其他资料</w:t>
            </w:r>
          </w:p>
        </w:tc>
        <w:tc>
          <w:tcPr>
            <w:tcW w:w="6610" w:type="dxa"/>
            <w:vAlign w:val="center"/>
          </w:tcPr>
          <w:p>
            <w:pPr>
              <w:snapToGrid w:val="0"/>
              <w:jc w:val="left"/>
              <w:rPr>
                <w:rFonts w:hint="eastAsia" w:cs="宋体" w:asciiTheme="minorEastAsia" w:hAnsiTheme="minorEastAsia" w:eastAsiaTheme="minorEastAsia"/>
                <w:color w:val="auto"/>
                <w:sz w:val="24"/>
                <w:lang w:eastAsia="zh-CN"/>
              </w:rPr>
            </w:pPr>
            <w:r>
              <w:rPr>
                <w:rFonts w:hint="eastAsia" w:cs="宋体" w:asciiTheme="minorEastAsia" w:hAnsiTheme="minorEastAsia"/>
                <w:color w:val="auto"/>
                <w:sz w:val="24"/>
                <w:lang w:eastAsia="zh-CN"/>
              </w:rPr>
              <w:t>施工</w:t>
            </w:r>
            <w:r>
              <w:rPr>
                <w:rFonts w:hint="eastAsia" w:cs="宋体" w:asciiTheme="minorEastAsia" w:hAnsiTheme="minorEastAsia"/>
                <w:color w:val="auto"/>
                <w:sz w:val="24"/>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napToGrid w:val="0"/>
              <w:jc w:val="center"/>
              <w:rPr>
                <w:rFonts w:cs="宋体" w:asciiTheme="minorEastAsia" w:hAnsiTheme="minorEastAsia"/>
                <w:color w:val="auto"/>
                <w:sz w:val="24"/>
              </w:rPr>
            </w:pPr>
          </w:p>
        </w:tc>
        <w:tc>
          <w:tcPr>
            <w:tcW w:w="1774" w:type="dxa"/>
            <w:vMerge w:val="continue"/>
            <w:vAlign w:val="center"/>
          </w:tcPr>
          <w:p>
            <w:pPr>
              <w:snapToGrid w:val="0"/>
              <w:jc w:val="left"/>
              <w:rPr>
                <w:rFonts w:cs="宋体" w:asciiTheme="minorEastAsia" w:hAnsiTheme="minorEastAsia"/>
                <w:color w:val="auto"/>
                <w:sz w:val="24"/>
              </w:rPr>
            </w:pPr>
          </w:p>
        </w:tc>
        <w:tc>
          <w:tcPr>
            <w:tcW w:w="6610" w:type="dxa"/>
            <w:vAlign w:val="center"/>
          </w:tcPr>
          <w:p>
            <w:pPr>
              <w:snapToGrid w:val="0"/>
              <w:jc w:val="left"/>
              <w:rPr>
                <w:rFonts w:cs="宋体" w:asciiTheme="minorEastAsia" w:hAnsiTheme="minorEastAsia"/>
                <w:color w:val="auto"/>
                <w:sz w:val="24"/>
              </w:rPr>
            </w:pPr>
            <w:r>
              <w:rPr>
                <w:rFonts w:hint="eastAsia" w:cs="宋体" w:asciiTheme="minorEastAsia" w:hAnsiTheme="minorEastAsia"/>
                <w:color w:val="auto"/>
                <w:sz w:val="24"/>
              </w:rPr>
              <w:t>采用BIM的相关技术文件</w:t>
            </w:r>
          </w:p>
        </w:tc>
      </w:tr>
    </w:tbl>
    <w:p>
      <w:pPr>
        <w:rPr>
          <w:rFonts w:ascii="宋体" w:hAnsi="宋体" w:cs="宋体"/>
          <w:color w:val="auto"/>
          <w:kern w:val="0"/>
          <w:sz w:val="24"/>
        </w:rPr>
      </w:pPr>
      <w:r>
        <w:rPr>
          <w:rFonts w:hint="eastAsia" w:ascii="宋体" w:hAnsi="宋体" w:cs="宋体"/>
          <w:color w:val="auto"/>
          <w:kern w:val="0"/>
          <w:sz w:val="24"/>
        </w:rPr>
        <w:br w:type="page"/>
      </w:r>
    </w:p>
    <w:p>
      <w:pPr>
        <w:spacing w:before="240" w:line="358" w:lineRule="auto"/>
        <w:ind w:right="91"/>
        <w:rPr>
          <w:rFonts w:ascii="黑体" w:hAnsi="黑体" w:eastAsia="黑体" w:cs="黑体"/>
          <w:b/>
          <w:color w:val="auto"/>
          <w:kern w:val="0"/>
          <w:sz w:val="28"/>
          <w:szCs w:val="28"/>
        </w:rPr>
      </w:pPr>
      <w:r>
        <w:rPr>
          <w:rFonts w:hint="eastAsia" w:ascii="黑体" w:hAnsi="黑体" w:eastAsia="黑体" w:cs="黑体"/>
          <w:b/>
          <w:color w:val="auto"/>
          <w:kern w:val="0"/>
          <w:sz w:val="28"/>
          <w:szCs w:val="28"/>
        </w:rPr>
        <w:t>附件2</w:t>
      </w:r>
    </w:p>
    <w:p>
      <w:pPr>
        <w:spacing w:line="360" w:lineRule="auto"/>
        <w:jc w:val="center"/>
        <w:rPr>
          <w:rFonts w:ascii="宋体" w:hAnsi="宋体"/>
          <w:b/>
          <w:color w:val="auto"/>
          <w:kern w:val="0"/>
          <w:sz w:val="32"/>
          <w:szCs w:val="32"/>
        </w:rPr>
      </w:pPr>
      <w:r>
        <w:rPr>
          <w:rFonts w:hint="eastAsia" w:ascii="宋体" w:hAnsi="宋体"/>
          <w:b/>
          <w:color w:val="auto"/>
          <w:kern w:val="0"/>
          <w:sz w:val="32"/>
          <w:szCs w:val="32"/>
        </w:rPr>
        <w:t>绿色策划评分表</w:t>
      </w:r>
    </w:p>
    <w:tbl>
      <w:tblPr>
        <w:tblStyle w:val="9"/>
        <w:tblW w:w="8522"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45"/>
        <w:gridCol w:w="3508"/>
        <w:gridCol w:w="2432"/>
        <w:gridCol w:w="856"/>
        <w:gridCol w:w="108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序号</w:t>
            </w:r>
          </w:p>
        </w:tc>
        <w:tc>
          <w:tcPr>
            <w:tcW w:w="3508" w:type="dxa"/>
            <w:tcBorders>
              <w:tl2br w:val="nil"/>
              <w:tr2bl w:val="nil"/>
            </w:tcBorders>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评价内容</w:t>
            </w:r>
          </w:p>
        </w:tc>
        <w:tc>
          <w:tcPr>
            <w:tcW w:w="2432" w:type="dxa"/>
            <w:tcBorders>
              <w:tl2br w:val="nil"/>
              <w:tr2bl w:val="nil"/>
            </w:tcBorders>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评价方法</w:t>
            </w:r>
          </w:p>
        </w:tc>
        <w:tc>
          <w:tcPr>
            <w:tcW w:w="856" w:type="dxa"/>
            <w:tcBorders>
              <w:tl2br w:val="nil"/>
              <w:tr2bl w:val="nil"/>
            </w:tcBorders>
            <w:vAlign w:val="center"/>
          </w:tcPr>
          <w:p>
            <w:pPr>
              <w:adjustRightInd w:val="0"/>
              <w:snapToGrid w:val="0"/>
              <w:spacing w:line="300" w:lineRule="exact"/>
              <w:jc w:val="center"/>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分值</w:t>
            </w:r>
          </w:p>
        </w:tc>
        <w:tc>
          <w:tcPr>
            <w:tcW w:w="1081" w:type="dxa"/>
            <w:tcBorders>
              <w:tl2br w:val="nil"/>
              <w:tr2bl w:val="nil"/>
            </w:tcBorders>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Times New Roman" w:hAnsi="Times New Roman"/>
                <w:b/>
                <w:color w:val="auto"/>
                <w:kern w:val="0"/>
                <w:szCs w:val="21"/>
              </w:rPr>
              <w:t>得</w:t>
            </w:r>
            <w:r>
              <w:rPr>
                <w:rFonts w:ascii="Times New Roman" w:hAnsi="Times New Roman"/>
                <w:b/>
                <w:color w:val="auto"/>
                <w:kern w:val="0"/>
                <w:szCs w:val="21"/>
                <w:lang w:eastAsia="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522" w:type="dxa"/>
            <w:gridSpan w:val="5"/>
            <w:tcBorders>
              <w:tl2br w:val="nil"/>
              <w:tr2bl w:val="nil"/>
            </w:tcBorders>
            <w:shd w:val="clear" w:color="auto" w:fill="F1F1F1" w:themeFill="background1" w:themeFillShade="F2"/>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控制项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lang w:eastAsia="en-US"/>
              </w:rPr>
            </w:pPr>
            <w:r>
              <w:rPr>
                <w:rFonts w:hint="eastAsia" w:ascii="宋体" w:hAnsi="宋体" w:eastAsia="宋体" w:cs="宋体"/>
                <w:b/>
                <w:color w:val="auto"/>
                <w:spacing w:val="-2"/>
                <w:kern w:val="0"/>
                <w:szCs w:val="21"/>
                <w:lang w:eastAsia="en-US"/>
              </w:rPr>
              <w:t>1</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建设单位应在建筑工程立项阶段组织编制项目绿色策划方案。</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符合《绿色建造技术导则》要求，并按照《绿色建造策划方案编制纲要》进行编制，且项目建议书、可行性研究报告中综合考虑工程绿色要素。</w:t>
            </w:r>
          </w:p>
        </w:tc>
        <w:tc>
          <w:tcPr>
            <w:tcW w:w="856" w:type="dxa"/>
            <w:tcBorders>
              <w:tl2br w:val="nil"/>
              <w:tr2bl w:val="nil"/>
            </w:tcBorders>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□达  标</w:t>
            </w:r>
          </w:p>
          <w:p>
            <w:pPr>
              <w:spacing w:line="24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522" w:type="dxa"/>
            <w:gridSpan w:val="5"/>
            <w:tcBorders>
              <w:tl2br w:val="nil"/>
              <w:tr2bl w:val="nil"/>
            </w:tcBorders>
            <w:shd w:val="clear" w:color="auto" w:fill="F1F1F1" w:themeFill="background1" w:themeFillShade="F2"/>
            <w:vAlign w:val="center"/>
          </w:tcPr>
          <w:p>
            <w:pPr>
              <w:spacing w:line="240" w:lineRule="exact"/>
              <w:jc w:val="center"/>
              <w:rPr>
                <w:rFonts w:ascii="宋体" w:hAnsi="宋体" w:eastAsia="宋体" w:cs="宋体"/>
                <w:color w:val="auto"/>
                <w:szCs w:val="21"/>
              </w:rPr>
            </w:pPr>
            <w:r>
              <w:rPr>
                <w:rFonts w:hint="eastAsia" w:ascii="宋体" w:hAnsi="宋体" w:eastAsia="宋体" w:cs="宋体"/>
                <w:b/>
                <w:bCs/>
                <w:color w:val="auto"/>
                <w:kern w:val="0"/>
                <w:szCs w:val="21"/>
                <w:lang w:eastAsia="en-US"/>
              </w:rPr>
              <w:t>一般项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lang w:eastAsia="en-US"/>
              </w:rPr>
            </w:pPr>
            <w:r>
              <w:rPr>
                <w:rFonts w:hint="eastAsia" w:ascii="宋体" w:hAnsi="宋体" w:eastAsia="宋体" w:cs="宋体"/>
                <w:b/>
                <w:color w:val="auto"/>
                <w:spacing w:val="-2"/>
                <w:kern w:val="0"/>
                <w:szCs w:val="21"/>
                <w:lang w:eastAsia="en-US"/>
              </w:rPr>
              <w:t>2</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成立绿色建造管理团队，成员包括投资、咨询、设计、施工等项目参与方。建立涵盖设计、施工等不同阶段的项目工作协同机制。</w:t>
            </w:r>
          </w:p>
        </w:tc>
        <w:tc>
          <w:tcPr>
            <w:tcW w:w="2432" w:type="dxa"/>
            <w:tcBorders>
              <w:tl2br w:val="nil"/>
              <w:tr2bl w:val="nil"/>
            </w:tcBorders>
            <w:vAlign w:val="center"/>
          </w:tcPr>
          <w:p>
            <w:pPr>
              <w:spacing w:line="24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查阅绿色建造管理组织构架和工作机制文件</w:t>
            </w:r>
            <w:r>
              <w:rPr>
                <w:rFonts w:hint="eastAsia" w:ascii="宋体" w:hAnsi="宋体" w:eastAsia="宋体" w:cs="宋体"/>
                <w:color w:val="auto"/>
                <w:szCs w:val="21"/>
                <w:lang w:val="en-US" w:eastAsia="zh-CN"/>
              </w:rPr>
              <w:t>。</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12</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3</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绿色建造管理团队对建造全过程进行整体统筹，并制定相关管理制度</w:t>
            </w:r>
          </w:p>
        </w:tc>
        <w:tc>
          <w:tcPr>
            <w:tcW w:w="2432" w:type="dxa"/>
            <w:tcBorders>
              <w:tl2br w:val="nil"/>
              <w:tr2bl w:val="nil"/>
            </w:tcBorders>
            <w:vAlign w:val="center"/>
          </w:tcPr>
          <w:p>
            <w:pPr>
              <w:spacing w:line="240" w:lineRule="exact"/>
              <w:rPr>
                <w:rFonts w:hint="eastAsia" w:ascii="宋体" w:hAnsi="宋体" w:eastAsia="宋体" w:cs="宋体"/>
                <w:color w:val="auto"/>
                <w:szCs w:val="21"/>
                <w:lang w:eastAsia="zh-CN"/>
              </w:rPr>
            </w:pPr>
            <w:r>
              <w:rPr>
                <w:rFonts w:hint="eastAsia" w:ascii="宋体" w:hAnsi="宋体" w:eastAsia="宋体" w:cs="宋体"/>
                <w:color w:val="auto"/>
                <w:szCs w:val="21"/>
              </w:rPr>
              <w:t>查阅相关管理制度</w:t>
            </w:r>
            <w:r>
              <w:rPr>
                <w:rFonts w:hint="eastAsia" w:ascii="宋体" w:hAnsi="宋体" w:eastAsia="宋体" w:cs="宋体"/>
                <w:color w:val="auto"/>
                <w:szCs w:val="21"/>
                <w:lang w:eastAsia="zh-CN"/>
              </w:rPr>
              <w:t>。</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4</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项目设计任务书包括绿色建造前期策划的成果，包括但不限于绿色建造目标，拟采用的绿色建筑技术等</w:t>
            </w:r>
          </w:p>
        </w:tc>
        <w:tc>
          <w:tcPr>
            <w:tcW w:w="2432" w:type="dxa"/>
            <w:tcBorders>
              <w:tl2br w:val="nil"/>
              <w:tr2bl w:val="nil"/>
            </w:tcBorders>
            <w:vAlign w:val="center"/>
          </w:tcPr>
          <w:p>
            <w:pPr>
              <w:spacing w:line="240" w:lineRule="exact"/>
              <w:rPr>
                <w:rFonts w:hint="eastAsia" w:ascii="宋体" w:hAnsi="宋体" w:eastAsia="宋体" w:cs="宋体"/>
                <w:color w:val="auto"/>
                <w:szCs w:val="21"/>
                <w:lang w:eastAsia="zh-CN"/>
              </w:rPr>
            </w:pPr>
            <w:r>
              <w:rPr>
                <w:rFonts w:hint="eastAsia" w:ascii="宋体" w:hAnsi="宋体" w:eastAsia="宋体" w:cs="宋体"/>
                <w:color w:val="auto"/>
                <w:szCs w:val="21"/>
              </w:rPr>
              <w:t>查阅设计任务书</w:t>
            </w:r>
            <w:r>
              <w:rPr>
                <w:rFonts w:hint="eastAsia" w:ascii="宋体" w:hAnsi="宋体" w:eastAsia="宋体" w:cs="宋体"/>
                <w:color w:val="auto"/>
                <w:szCs w:val="21"/>
                <w:lang w:eastAsia="zh-CN"/>
              </w:rPr>
              <w:t>。</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5</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有效采用BIM等新技术，统筹建造全过程的信息管理，支撑各阶段多参与方之间的数据交换和信息共享，制定建造全过程信息共享实施方案。</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查看全过程信息共享实施方案（建造过程还须实地查看信息共享平台运维情况）。</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10</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6</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依据《建筑碳排放计算标准》GB/T 51366，预估建造全过程碳排放总量。</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查看建造全过程碳排放计算文件。</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8</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7</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制定施工扬尘控制、建筑垃圾减量化与资源化实施方案。将施工扬尘控制、建筑垃圾减量化目标和措施纳入招标文件和合同文本，措施费纳入工程概算。</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查看施工扬尘控制、建筑垃圾减量化与资源化实施方案，招标文件，合同文本，工程概算等。</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8</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采用智能建筑技术，强建筑物的科技功能和提升智能化系统的技术功效，具有适用性、开放性、可维护性和可扩展性。</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查看概念设计方案。明确采用智能建造的方式和范围，满足《智能建筑设计标准》GB 50314要求。</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9</w:t>
            </w:r>
          </w:p>
        </w:tc>
        <w:tc>
          <w:tcPr>
            <w:tcW w:w="3508" w:type="dxa"/>
            <w:tcBorders>
              <w:tl2br w:val="nil"/>
              <w:tr2bl w:val="nil"/>
            </w:tcBorders>
            <w:vAlign w:val="center"/>
          </w:tcPr>
          <w:p>
            <w:pPr>
              <w:spacing w:line="240" w:lineRule="exact"/>
              <w:rPr>
                <w:rFonts w:hint="eastAsia" w:ascii="宋体" w:hAnsi="宋体" w:eastAsia="宋体" w:cs="宋体"/>
                <w:color w:val="auto"/>
                <w:szCs w:val="21"/>
                <w:lang w:eastAsia="zh-CN"/>
              </w:rPr>
            </w:pPr>
            <w:r>
              <w:rPr>
                <w:rFonts w:hint="eastAsia" w:ascii="宋体" w:hAnsi="宋体" w:eastAsia="宋体" w:cs="宋体"/>
                <w:color w:val="auto"/>
                <w:szCs w:val="21"/>
              </w:rPr>
              <w:t>采用装配式建筑技术、钢结构建筑技术，装配率不低于50%。</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项目包含多栋单体建筑的按照单体装配率不</w:t>
            </w:r>
            <w:r>
              <w:rPr>
                <w:rFonts w:hint="eastAsia" w:ascii="宋体" w:hAnsi="宋体" w:eastAsia="宋体" w:cs="宋体"/>
                <w:color w:val="auto"/>
                <w:szCs w:val="21"/>
              </w:rPr>
              <w:t>低于50%</w:t>
            </w:r>
            <w:r>
              <w:rPr>
                <w:rFonts w:hint="eastAsia" w:ascii="宋体" w:hAnsi="宋体" w:eastAsia="宋体" w:cs="宋体"/>
                <w:color w:val="auto"/>
                <w:szCs w:val="21"/>
                <w:lang w:val="en-US" w:eastAsia="zh-CN"/>
              </w:rPr>
              <w:t>建筑物面积占全部建筑物面积的比例计算得分。</w:t>
            </w:r>
            <w:r>
              <w:rPr>
                <w:rFonts w:hint="eastAsia" w:ascii="宋体" w:hAnsi="宋体" w:eastAsia="宋体" w:cs="宋体"/>
                <w:color w:val="auto"/>
                <w:szCs w:val="21"/>
                <w:lang w:eastAsia="zh-CN"/>
              </w:rPr>
              <w:t>）</w:t>
            </w:r>
          </w:p>
        </w:tc>
        <w:tc>
          <w:tcPr>
            <w:tcW w:w="2432" w:type="dxa"/>
            <w:tcBorders>
              <w:tl2br w:val="nil"/>
              <w:tr2bl w:val="nil"/>
            </w:tcBorders>
            <w:vAlign w:val="center"/>
          </w:tcPr>
          <w:p>
            <w:pPr>
              <w:spacing w:line="240" w:lineRule="exact"/>
              <w:rPr>
                <w:rFonts w:hint="eastAsia" w:ascii="宋体" w:hAnsi="宋体" w:eastAsia="宋体" w:cs="宋体"/>
                <w:color w:val="auto"/>
                <w:szCs w:val="21"/>
                <w:lang w:eastAsia="zh-CN"/>
              </w:rPr>
            </w:pPr>
            <w:r>
              <w:rPr>
                <w:rFonts w:hint="eastAsia" w:ascii="宋体" w:hAnsi="宋体" w:eastAsia="宋体" w:cs="宋体"/>
                <w:color w:val="auto"/>
                <w:szCs w:val="21"/>
              </w:rPr>
              <w:t>查看概念设计方案。依据《装配式建筑评价标准》DB13(J)8321-2019评价。</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10</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采用绿色建筑技术，绿色建筑星级不低于一星级。</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查看概念设计方案。依据《绿色建筑评价标准》DB13(J)T8352-2020评价。</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20</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11</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编制智慧工地管理策划方案，对工地建设进行全过程智慧化管理</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查看技术方案和实地查看工地现场</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8</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45" w:type="dxa"/>
            <w:tcBorders>
              <w:tl2br w:val="nil"/>
              <w:tr2bl w:val="nil"/>
            </w:tcBorders>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12</w:t>
            </w:r>
          </w:p>
        </w:tc>
        <w:tc>
          <w:tcPr>
            <w:tcW w:w="3508"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制定数字化交付标准和方案，明确各阶段责任主体和交付成果。</w:t>
            </w:r>
          </w:p>
        </w:tc>
        <w:tc>
          <w:tcPr>
            <w:tcW w:w="2432" w:type="dxa"/>
            <w:tcBorders>
              <w:tl2br w:val="nil"/>
              <w:tr2bl w:val="nil"/>
            </w:tcBorders>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查看数字化交付标准和方案</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kern w:val="0"/>
                <w:szCs w:val="21"/>
                <w:lang w:bidi="ar"/>
              </w:rPr>
              <w:t>7</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85" w:type="dxa"/>
            <w:gridSpan w:val="3"/>
            <w:tcBorders>
              <w:tl2br w:val="nil"/>
              <w:tr2bl w:val="nil"/>
            </w:tcBorders>
            <w:vAlign w:val="center"/>
          </w:tcPr>
          <w:p>
            <w:pPr>
              <w:spacing w:line="240" w:lineRule="exact"/>
              <w:jc w:val="center"/>
              <w:rPr>
                <w:rFonts w:ascii="宋体" w:hAnsi="宋体" w:eastAsia="宋体" w:cs="宋体"/>
                <w:b/>
                <w:color w:val="auto"/>
                <w:szCs w:val="21"/>
              </w:rPr>
            </w:pPr>
            <w:r>
              <w:rPr>
                <w:rFonts w:hint="eastAsia" w:ascii="宋体" w:hAnsi="宋体" w:eastAsia="宋体" w:cs="宋体"/>
                <w:b/>
                <w:color w:val="auto"/>
                <w:szCs w:val="21"/>
              </w:rPr>
              <w:t>合  计</w:t>
            </w:r>
          </w:p>
        </w:tc>
        <w:tc>
          <w:tcPr>
            <w:tcW w:w="85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100</w:t>
            </w:r>
          </w:p>
        </w:tc>
        <w:tc>
          <w:tcPr>
            <w:tcW w:w="1081" w:type="dxa"/>
            <w:tcBorders>
              <w:tl2br w:val="nil"/>
              <w:tr2bl w:val="nil"/>
            </w:tcBorders>
            <w:vAlign w:val="center"/>
          </w:tcPr>
          <w:p>
            <w:pPr>
              <w:spacing w:line="240" w:lineRule="exact"/>
              <w:jc w:val="center"/>
              <w:rPr>
                <w:rFonts w:ascii="宋体" w:hAnsi="宋体" w:eastAsia="宋体" w:cs="宋体"/>
                <w:color w:val="auto"/>
                <w:szCs w:val="21"/>
              </w:rPr>
            </w:pPr>
          </w:p>
        </w:tc>
      </w:tr>
    </w:tbl>
    <w:p>
      <w:pPr>
        <w:rPr>
          <w:rFonts w:ascii="宋体" w:hAnsi="宋体" w:cs="宋体"/>
          <w:color w:val="auto"/>
          <w:kern w:val="0"/>
          <w:sz w:val="24"/>
        </w:rPr>
      </w:pPr>
      <w:r>
        <w:rPr>
          <w:rFonts w:hint="eastAsia" w:ascii="宋体" w:hAnsi="宋体" w:cs="宋体"/>
          <w:color w:val="auto"/>
          <w:kern w:val="0"/>
          <w:sz w:val="24"/>
        </w:rPr>
        <w:br w:type="page"/>
      </w:r>
    </w:p>
    <w:p>
      <w:pPr>
        <w:spacing w:before="240" w:line="358" w:lineRule="auto"/>
        <w:ind w:right="91"/>
        <w:rPr>
          <w:rFonts w:ascii="黑体" w:hAnsi="黑体" w:eastAsia="黑体" w:cs="黑体"/>
          <w:b/>
          <w:color w:val="auto"/>
          <w:kern w:val="0"/>
          <w:sz w:val="28"/>
          <w:szCs w:val="28"/>
        </w:rPr>
      </w:pPr>
      <w:r>
        <w:rPr>
          <w:rFonts w:hint="eastAsia" w:ascii="黑体" w:hAnsi="黑体" w:eastAsia="黑体" w:cs="黑体"/>
          <w:b/>
          <w:color w:val="auto"/>
          <w:kern w:val="0"/>
          <w:sz w:val="28"/>
          <w:szCs w:val="28"/>
        </w:rPr>
        <w:t>附件3</w:t>
      </w:r>
    </w:p>
    <w:p>
      <w:pPr>
        <w:spacing w:line="360" w:lineRule="auto"/>
        <w:jc w:val="center"/>
        <w:rPr>
          <w:rFonts w:ascii="宋体" w:hAnsi="宋体" w:eastAsia="宋体" w:cs="Times New Roman"/>
          <w:b/>
          <w:color w:val="auto"/>
          <w:kern w:val="0"/>
          <w:sz w:val="32"/>
          <w:szCs w:val="32"/>
        </w:rPr>
      </w:pPr>
      <w:r>
        <w:rPr>
          <w:rFonts w:hint="eastAsia" w:ascii="宋体" w:hAnsi="宋体" w:eastAsia="宋体" w:cs="Times New Roman"/>
          <w:b/>
          <w:color w:val="auto"/>
          <w:kern w:val="0"/>
          <w:sz w:val="32"/>
          <w:szCs w:val="32"/>
        </w:rPr>
        <w:t>绿色</w:t>
      </w:r>
      <w:r>
        <w:rPr>
          <w:rFonts w:ascii="宋体" w:hAnsi="宋体" w:eastAsia="宋体" w:cs="Times New Roman"/>
          <w:b/>
          <w:color w:val="auto"/>
          <w:kern w:val="0"/>
          <w:sz w:val="32"/>
          <w:szCs w:val="32"/>
        </w:rPr>
        <w:t>设计</w:t>
      </w:r>
      <w:r>
        <w:rPr>
          <w:rFonts w:hint="eastAsia" w:ascii="宋体" w:hAnsi="宋体" w:eastAsia="宋体" w:cs="Times New Roman"/>
          <w:b/>
          <w:color w:val="auto"/>
          <w:kern w:val="0"/>
          <w:sz w:val="32"/>
          <w:szCs w:val="32"/>
        </w:rPr>
        <w:t>评分表</w:t>
      </w:r>
    </w:p>
    <w:tbl>
      <w:tblPr>
        <w:tblStyle w:val="9"/>
        <w:tblW w:w="83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95"/>
        <w:gridCol w:w="3234"/>
        <w:gridCol w:w="2576"/>
        <w:gridCol w:w="1076"/>
        <w:gridCol w:w="10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tblHeader/>
          <w:jc w:val="center"/>
        </w:trPr>
        <w:tc>
          <w:tcPr>
            <w:tcW w:w="495"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序号</w:t>
            </w:r>
          </w:p>
        </w:tc>
        <w:tc>
          <w:tcPr>
            <w:tcW w:w="3234"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评价内容</w:t>
            </w:r>
          </w:p>
        </w:tc>
        <w:tc>
          <w:tcPr>
            <w:tcW w:w="2576"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评价方法</w:t>
            </w:r>
          </w:p>
        </w:tc>
        <w:tc>
          <w:tcPr>
            <w:tcW w:w="1076" w:type="dxa"/>
            <w:vAlign w:val="center"/>
          </w:tcPr>
          <w:p>
            <w:pPr>
              <w:adjustRightInd w:val="0"/>
              <w:snapToGrid w:val="0"/>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分值</w:t>
            </w:r>
          </w:p>
        </w:tc>
        <w:tc>
          <w:tcPr>
            <w:tcW w:w="1015" w:type="dxa"/>
            <w:vAlign w:val="center"/>
          </w:tcPr>
          <w:p>
            <w:pPr>
              <w:adjustRightInd w:val="0"/>
              <w:snapToGrid w:val="0"/>
              <w:spacing w:line="300" w:lineRule="exact"/>
              <w:jc w:val="center"/>
              <w:rPr>
                <w:rFonts w:ascii="宋体" w:hAnsi="宋体" w:eastAsia="宋体" w:cs="宋体"/>
                <w:b/>
                <w:bCs/>
                <w:color w:val="auto"/>
                <w:kern w:val="0"/>
                <w:szCs w:val="21"/>
              </w:rPr>
            </w:pPr>
            <w:r>
              <w:rPr>
                <w:rFonts w:hint="eastAsia" w:ascii="Times New Roman" w:hAnsi="Times New Roman"/>
                <w:b/>
                <w:color w:val="auto"/>
                <w:kern w:val="0"/>
                <w:szCs w:val="21"/>
              </w:rPr>
              <w:t>得</w:t>
            </w:r>
            <w:r>
              <w:rPr>
                <w:rFonts w:ascii="Times New Roman" w:hAnsi="Times New Roman"/>
                <w:b/>
                <w:color w:val="auto"/>
                <w:kern w:val="0"/>
                <w:szCs w:val="21"/>
                <w:lang w:eastAsia="en-US"/>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396" w:type="dxa"/>
            <w:gridSpan w:val="5"/>
            <w:shd w:val="clear" w:color="auto" w:fill="F1F1F1" w:themeFill="background1" w:themeFillShade="F2"/>
            <w:vAlign w:val="center"/>
          </w:tcPr>
          <w:p>
            <w:pPr>
              <w:adjustRightInd w:val="0"/>
              <w:snapToGrid w:val="0"/>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控制项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1</w:t>
            </w:r>
          </w:p>
        </w:tc>
        <w:tc>
          <w:tcPr>
            <w:tcW w:w="3234" w:type="dxa"/>
            <w:vAlign w:val="center"/>
          </w:tcPr>
          <w:p>
            <w:pPr>
              <w:spacing w:line="240" w:lineRule="exact"/>
              <w:jc w:val="left"/>
              <w:rPr>
                <w:rFonts w:ascii="宋体" w:hAnsi="宋体" w:eastAsia="宋体" w:cs="宋体"/>
                <w:color w:val="auto"/>
                <w:szCs w:val="21"/>
              </w:rPr>
            </w:pPr>
            <w:r>
              <w:rPr>
                <w:rFonts w:hint="eastAsia" w:ascii="宋体" w:hAnsi="宋体" w:eastAsia="宋体" w:cs="宋体"/>
                <w:color w:val="auto"/>
                <w:szCs w:val="21"/>
              </w:rPr>
              <w:t>采用绿色建筑技术，绿色建筑等级不低于基本级。</w:t>
            </w:r>
          </w:p>
        </w:tc>
        <w:tc>
          <w:tcPr>
            <w:tcW w:w="2576" w:type="dxa"/>
            <w:vAlign w:val="center"/>
          </w:tcPr>
          <w:p>
            <w:pPr>
              <w:spacing w:line="240" w:lineRule="exact"/>
              <w:jc w:val="both"/>
              <w:rPr>
                <w:rFonts w:ascii="宋体" w:hAnsi="宋体" w:eastAsia="宋体" w:cs="宋体"/>
                <w:color w:val="auto"/>
                <w:szCs w:val="21"/>
              </w:rPr>
            </w:pPr>
            <w:r>
              <w:rPr>
                <w:rFonts w:hint="eastAsia" w:ascii="宋体" w:hAnsi="宋体" w:eastAsia="宋体" w:cs="宋体"/>
                <w:color w:val="auto"/>
                <w:szCs w:val="21"/>
              </w:rPr>
              <w:t>依据《绿色建筑评价标准》DB13(J)T8352-2020评价。</w:t>
            </w:r>
          </w:p>
        </w:tc>
        <w:tc>
          <w:tcPr>
            <w:tcW w:w="10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达标</w:t>
            </w:r>
          </w:p>
        </w:tc>
        <w:tc>
          <w:tcPr>
            <w:tcW w:w="1015" w:type="dxa"/>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□达  标</w:t>
            </w:r>
          </w:p>
          <w:p>
            <w:pPr>
              <w:spacing w:line="24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2"/>
                <w:kern w:val="0"/>
                <w:szCs w:val="21"/>
              </w:rPr>
            </w:pPr>
            <w:r>
              <w:rPr>
                <w:rFonts w:hint="eastAsia" w:ascii="宋体" w:hAnsi="宋体" w:eastAsia="宋体" w:cs="宋体"/>
                <w:b/>
                <w:color w:val="auto"/>
                <w:spacing w:val="-2"/>
                <w:kern w:val="0"/>
                <w:szCs w:val="21"/>
              </w:rPr>
              <w:t>2</w:t>
            </w:r>
          </w:p>
        </w:tc>
        <w:tc>
          <w:tcPr>
            <w:tcW w:w="3234" w:type="dxa"/>
            <w:vAlign w:val="center"/>
          </w:tcPr>
          <w:p>
            <w:pPr>
              <w:spacing w:line="240" w:lineRule="exact"/>
              <w:jc w:val="left"/>
              <w:rPr>
                <w:rFonts w:ascii="宋体" w:hAnsi="宋体" w:eastAsia="宋体" w:cs="宋体"/>
                <w:color w:val="auto"/>
                <w:szCs w:val="21"/>
              </w:rPr>
            </w:pPr>
            <w:r>
              <w:rPr>
                <w:rFonts w:hint="eastAsia" w:ascii="宋体" w:hAnsi="宋体" w:eastAsia="宋体" w:cs="宋体"/>
                <w:color w:val="auto"/>
                <w:szCs w:val="21"/>
              </w:rPr>
              <w:t>采用 BIM数字化设计方式。</w:t>
            </w:r>
          </w:p>
        </w:tc>
        <w:tc>
          <w:tcPr>
            <w:tcW w:w="2576" w:type="dxa"/>
            <w:vAlign w:val="center"/>
          </w:tcPr>
          <w:p>
            <w:pPr>
              <w:spacing w:line="240" w:lineRule="exact"/>
              <w:jc w:val="both"/>
              <w:rPr>
                <w:rFonts w:hint="eastAsia" w:ascii="宋体" w:hAnsi="宋体" w:eastAsia="宋体" w:cs="宋体"/>
                <w:color w:val="auto"/>
                <w:szCs w:val="21"/>
                <w:lang w:eastAsia="zh-CN"/>
              </w:rPr>
            </w:pPr>
            <w:r>
              <w:rPr>
                <w:rFonts w:hint="eastAsia" w:ascii="宋体" w:hAnsi="宋体" w:eastAsia="宋体" w:cs="宋体"/>
                <w:color w:val="auto"/>
                <w:szCs w:val="21"/>
              </w:rPr>
              <w:t>查看相关文件，及实施效果</w:t>
            </w:r>
            <w:r>
              <w:rPr>
                <w:rFonts w:hint="eastAsia" w:ascii="宋体" w:hAnsi="宋体" w:eastAsia="宋体" w:cs="宋体"/>
                <w:color w:val="auto"/>
                <w:szCs w:val="21"/>
                <w:lang w:eastAsia="zh-CN"/>
              </w:rPr>
              <w:t>。</w:t>
            </w:r>
          </w:p>
        </w:tc>
        <w:tc>
          <w:tcPr>
            <w:tcW w:w="10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达标</w:t>
            </w:r>
          </w:p>
        </w:tc>
        <w:tc>
          <w:tcPr>
            <w:tcW w:w="1015" w:type="dxa"/>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□达  标</w:t>
            </w:r>
          </w:p>
          <w:p>
            <w:pPr>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6"/>
                <w:kern w:val="0"/>
                <w:szCs w:val="21"/>
              </w:rPr>
            </w:pPr>
            <w:r>
              <w:rPr>
                <w:rFonts w:hint="eastAsia" w:ascii="宋体" w:hAnsi="宋体" w:eastAsia="宋体" w:cs="宋体"/>
                <w:b/>
                <w:color w:val="auto"/>
                <w:spacing w:val="6"/>
                <w:kern w:val="0"/>
                <w:szCs w:val="21"/>
              </w:rPr>
              <w:t>3</w:t>
            </w:r>
          </w:p>
        </w:tc>
        <w:tc>
          <w:tcPr>
            <w:tcW w:w="3234" w:type="dxa"/>
            <w:vAlign w:val="center"/>
          </w:tcPr>
          <w:p>
            <w:pPr>
              <w:jc w:val="left"/>
              <w:rPr>
                <w:rFonts w:ascii="宋体" w:hAnsi="宋体" w:eastAsia="宋体" w:cs="宋体"/>
                <w:color w:val="auto"/>
                <w:szCs w:val="21"/>
                <w:highlight w:val="yellow"/>
              </w:rPr>
            </w:pPr>
            <w:r>
              <w:rPr>
                <w:rFonts w:hint="eastAsia" w:ascii="宋体" w:hAnsi="宋体" w:eastAsia="宋体" w:cs="宋体"/>
                <w:color w:val="auto"/>
                <w:szCs w:val="21"/>
              </w:rPr>
              <w:t>建筑材料的选用符合国家和地方相关标准规范环保要求。</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符合国家和地方相关标准规范环保要求</w:t>
            </w:r>
            <w:r>
              <w:rPr>
                <w:rFonts w:hint="eastAsia" w:ascii="宋体" w:hAnsi="宋体" w:eastAsia="宋体" w:cs="宋体"/>
                <w:color w:val="auto"/>
                <w:szCs w:val="21"/>
                <w:lang w:eastAsia="zh-CN"/>
              </w:rPr>
              <w:t>。</w:t>
            </w:r>
          </w:p>
        </w:tc>
        <w:tc>
          <w:tcPr>
            <w:tcW w:w="10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达标</w:t>
            </w:r>
          </w:p>
        </w:tc>
        <w:tc>
          <w:tcPr>
            <w:tcW w:w="1015" w:type="dxa"/>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□达  标</w:t>
            </w:r>
          </w:p>
          <w:p>
            <w:pPr>
              <w:jc w:val="center"/>
              <w:rPr>
                <w:rFonts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396" w:type="dxa"/>
            <w:gridSpan w:val="5"/>
            <w:shd w:val="clear" w:color="auto" w:fill="F1F1F1" w:themeFill="background1" w:themeFillShade="F2"/>
            <w:vAlign w:val="center"/>
          </w:tcPr>
          <w:p>
            <w:pPr>
              <w:jc w:val="center"/>
              <w:rPr>
                <w:rFonts w:ascii="宋体" w:hAnsi="宋体" w:eastAsia="宋体" w:cs="宋体"/>
                <w:color w:val="auto"/>
                <w:szCs w:val="21"/>
                <w:highlight w:val="yellow"/>
              </w:rPr>
            </w:pPr>
            <w:r>
              <w:rPr>
                <w:rFonts w:hint="eastAsia" w:ascii="宋体" w:hAnsi="宋体" w:eastAsia="宋体" w:cs="宋体"/>
                <w:b/>
                <w:bCs/>
                <w:color w:val="auto"/>
                <w:kern w:val="0"/>
                <w:szCs w:val="21"/>
                <w:lang w:eastAsia="en-US"/>
              </w:rPr>
              <w:t>一般项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6"/>
                <w:kern w:val="0"/>
                <w:szCs w:val="21"/>
              </w:rPr>
            </w:pPr>
            <w:r>
              <w:rPr>
                <w:rFonts w:hint="eastAsia" w:ascii="宋体" w:hAnsi="宋体" w:eastAsia="宋体" w:cs="宋体"/>
                <w:b/>
                <w:color w:val="auto"/>
                <w:spacing w:val="6"/>
                <w:kern w:val="0"/>
                <w:szCs w:val="21"/>
              </w:rPr>
              <w:t>4</w:t>
            </w:r>
          </w:p>
        </w:tc>
        <w:tc>
          <w:tcPr>
            <w:tcW w:w="3234" w:type="dxa"/>
            <w:vAlign w:val="center"/>
          </w:tcPr>
          <w:p>
            <w:pPr>
              <w:spacing w:line="240" w:lineRule="exact"/>
              <w:jc w:val="left"/>
              <w:rPr>
                <w:rFonts w:ascii="宋体" w:hAnsi="宋体" w:eastAsia="宋体" w:cs="宋体"/>
                <w:color w:val="auto"/>
                <w:szCs w:val="21"/>
              </w:rPr>
            </w:pPr>
            <w:r>
              <w:rPr>
                <w:rFonts w:hint="eastAsia" w:ascii="宋体" w:hAnsi="宋体" w:eastAsia="宋体" w:cs="宋体"/>
                <w:color w:val="auto"/>
                <w:szCs w:val="21"/>
              </w:rPr>
              <w:t>依据《绿色建筑评价标准》DB13(J)T8352-2020评价绿色建筑等级。一星级得40分、二星级得45分、三星级得50分</w:t>
            </w:r>
          </w:p>
        </w:tc>
        <w:tc>
          <w:tcPr>
            <w:tcW w:w="2576" w:type="dxa"/>
            <w:vAlign w:val="center"/>
          </w:tcPr>
          <w:p>
            <w:pPr>
              <w:spacing w:line="240" w:lineRule="exact"/>
              <w:jc w:val="both"/>
              <w:rPr>
                <w:rFonts w:hint="eastAsia" w:ascii="宋体" w:hAnsi="宋体" w:eastAsia="宋体" w:cs="宋体"/>
                <w:color w:val="auto"/>
                <w:szCs w:val="21"/>
                <w:lang w:eastAsia="zh-CN"/>
              </w:rPr>
            </w:pPr>
            <w:r>
              <w:rPr>
                <w:rFonts w:hint="eastAsia" w:ascii="宋体" w:hAnsi="宋体" w:eastAsia="宋体" w:cs="宋体"/>
                <w:color w:val="auto"/>
                <w:szCs w:val="21"/>
              </w:rPr>
              <w:t>查看绿色建筑评价文件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40、45、</w:t>
            </w:r>
            <w:r>
              <w:rPr>
                <w:rFonts w:hint="default" w:ascii="Times New Roman" w:hAnsi="Times New Roman" w:eastAsia="宋体" w:cs="Times New Roman"/>
                <w:color w:val="auto"/>
                <w:szCs w:val="21"/>
              </w:rPr>
              <w:t>50</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5</w:t>
            </w:r>
          </w:p>
        </w:tc>
        <w:tc>
          <w:tcPr>
            <w:tcW w:w="3234" w:type="dxa"/>
            <w:vAlign w:val="center"/>
          </w:tcPr>
          <w:p>
            <w:pPr>
              <w:jc w:val="left"/>
              <w:rPr>
                <w:rFonts w:ascii="宋体" w:hAnsi="宋体" w:eastAsia="宋体" w:cs="宋体"/>
                <w:color w:val="auto"/>
                <w:szCs w:val="21"/>
                <w:highlight w:val="yellow"/>
              </w:rPr>
            </w:pPr>
            <w:r>
              <w:rPr>
                <w:rFonts w:hint="eastAsia" w:ascii="宋体" w:hAnsi="宋体" w:eastAsia="宋体" w:cs="宋体"/>
                <w:color w:val="auto"/>
                <w:szCs w:val="21"/>
                <w:lang w:val="en-US" w:eastAsia="zh-CN"/>
              </w:rPr>
              <w:t>主要</w:t>
            </w:r>
            <w:r>
              <w:rPr>
                <w:rFonts w:hint="eastAsia" w:ascii="宋体" w:hAnsi="宋体" w:eastAsia="宋体" w:cs="宋体"/>
                <w:color w:val="auto"/>
                <w:szCs w:val="21"/>
              </w:rPr>
              <w:t>建筑材料选用获得绿色建材评价认证标识的建筑材料和产品。</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查阅相关设计文件、计算分析报告</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6</w:t>
            </w:r>
          </w:p>
        </w:tc>
        <w:tc>
          <w:tcPr>
            <w:tcW w:w="3234" w:type="dxa"/>
            <w:vAlign w:val="center"/>
          </w:tcPr>
          <w:p>
            <w:pPr>
              <w:jc w:val="left"/>
              <w:rPr>
                <w:rFonts w:ascii="宋体" w:hAnsi="宋体" w:eastAsia="宋体" w:cs="宋体"/>
                <w:color w:val="auto"/>
                <w:szCs w:val="21"/>
                <w:highlight w:val="yellow"/>
              </w:rPr>
            </w:pPr>
            <w:r>
              <w:rPr>
                <w:rFonts w:hint="eastAsia" w:ascii="宋体" w:hAnsi="宋体" w:eastAsia="宋体" w:cs="宋体"/>
                <w:color w:val="auto"/>
                <w:szCs w:val="21"/>
                <w:lang w:val="en-US" w:eastAsia="zh-CN"/>
              </w:rPr>
              <w:t>主要</w:t>
            </w:r>
            <w:r>
              <w:rPr>
                <w:rFonts w:hint="eastAsia" w:ascii="宋体" w:hAnsi="宋体" w:eastAsia="宋体" w:cs="宋体"/>
                <w:color w:val="auto"/>
                <w:szCs w:val="21"/>
              </w:rPr>
              <w:t>建筑材料采用高强、高性能材料。</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查阅相关设计文件、各类材料用量比例计算书</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7</w:t>
            </w:r>
          </w:p>
        </w:tc>
        <w:tc>
          <w:tcPr>
            <w:tcW w:w="3234" w:type="dxa"/>
            <w:vAlign w:val="center"/>
          </w:tcPr>
          <w:p>
            <w:pPr>
              <w:jc w:val="left"/>
              <w:rPr>
                <w:rFonts w:ascii="宋体" w:hAnsi="宋体" w:eastAsia="宋体" w:cs="宋体"/>
                <w:color w:val="auto"/>
                <w:szCs w:val="21"/>
                <w:highlight w:val="yellow"/>
              </w:rPr>
            </w:pPr>
            <w:r>
              <w:rPr>
                <w:rFonts w:hint="eastAsia" w:ascii="宋体" w:hAnsi="宋体" w:eastAsia="宋体" w:cs="宋体"/>
                <w:color w:val="auto"/>
                <w:szCs w:val="21"/>
                <w:lang w:val="en-US" w:eastAsia="zh-CN"/>
              </w:rPr>
              <w:t>主要</w:t>
            </w:r>
            <w:r>
              <w:rPr>
                <w:rFonts w:hint="eastAsia" w:ascii="宋体" w:hAnsi="宋体" w:eastAsia="宋体" w:cs="宋体"/>
                <w:color w:val="auto"/>
                <w:szCs w:val="21"/>
              </w:rPr>
              <w:t>建筑材料选择地方性建筑材料和当地推广使用的建筑材料。</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查看相关证明文件</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8</w:t>
            </w:r>
          </w:p>
        </w:tc>
        <w:tc>
          <w:tcPr>
            <w:tcW w:w="3234" w:type="dxa"/>
            <w:vAlign w:val="center"/>
          </w:tcPr>
          <w:p>
            <w:pPr>
              <w:jc w:val="left"/>
              <w:rPr>
                <w:rFonts w:ascii="宋体" w:hAnsi="宋体" w:eastAsia="宋体" w:cs="宋体"/>
                <w:color w:val="auto"/>
                <w:szCs w:val="21"/>
                <w:highlight w:val="yellow"/>
              </w:rPr>
            </w:pPr>
            <w:r>
              <w:rPr>
                <w:rFonts w:hint="eastAsia" w:ascii="宋体" w:hAnsi="宋体" w:eastAsia="宋体" w:cs="宋体"/>
                <w:color w:val="auto"/>
                <w:szCs w:val="21"/>
              </w:rPr>
              <w:t>建筑装修采用装配式装修，选用集成厨卫等工业化内装部品。</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查阅相关设计文件（建筑及装修专业施工图、工业化内装部品施工图）、工业化内装部品用量比例计算书</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9</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建筑结构材料选用高耐久性混凝土、耐候和耐火结构钢、耐久木材等。</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查看相关证明文件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10</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外饰面材料、室内装饰装修材料、防水和密封材料等选用耐久性好、易维护的材料。</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查看相关证明文件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11</w:t>
            </w:r>
          </w:p>
        </w:tc>
        <w:tc>
          <w:tcPr>
            <w:tcW w:w="3234" w:type="dxa"/>
            <w:vAlign w:val="center"/>
          </w:tcPr>
          <w:p>
            <w:pPr>
              <w:jc w:val="left"/>
              <w:rPr>
                <w:rFonts w:hint="default" w:ascii="宋体" w:hAnsi="宋体" w:eastAsia="宋体" w:cs="宋体"/>
                <w:color w:val="auto"/>
                <w:szCs w:val="21"/>
                <w:lang w:val="en-US" w:eastAsia="zh-CN"/>
              </w:rPr>
            </w:pPr>
            <w:r>
              <w:rPr>
                <w:rFonts w:hint="eastAsia" w:ascii="宋体" w:hAnsi="宋体" w:eastAsia="宋体" w:cs="宋体"/>
                <w:color w:val="auto"/>
                <w:szCs w:val="21"/>
              </w:rPr>
              <w:t>选用可再循环材料</w:t>
            </w:r>
            <w:r>
              <w:rPr>
                <w:rFonts w:hint="eastAsia" w:ascii="宋体" w:hAnsi="宋体" w:eastAsia="宋体" w:cs="宋体"/>
                <w:color w:val="auto"/>
                <w:szCs w:val="21"/>
                <w:lang w:val="en-US" w:eastAsia="zh-CN"/>
              </w:rPr>
              <w:t>和</w:t>
            </w:r>
            <w:r>
              <w:rPr>
                <w:rFonts w:hint="eastAsia" w:ascii="宋体" w:hAnsi="宋体" w:eastAsia="宋体" w:cs="宋体"/>
                <w:color w:val="auto"/>
                <w:szCs w:val="21"/>
              </w:rPr>
              <w:t>可再利用材料</w:t>
            </w:r>
            <w:r>
              <w:rPr>
                <w:rFonts w:hint="eastAsia" w:ascii="宋体" w:hAnsi="宋体" w:eastAsia="宋体" w:cs="宋体"/>
                <w:color w:val="auto"/>
                <w:szCs w:val="21"/>
                <w:lang w:val="en-US" w:eastAsia="zh-CN"/>
              </w:rPr>
              <w:t>用量比例不低于6%。</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查阅工程概预算材料清单、各类材料用量比例计算书，各种建筑材料的使用部位及使用量一览表</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相关证明文件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12</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统筹建筑、结构、机电设备、装饰装修、景观园林等各专业设计，统筹策划、设计、施工、交付等建造全过程，实现工程全寿命期系统化集成设计。</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查看各专业协同设计文件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13</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采用协同设计平台，集成技术措施、产品性能清单、成本数据库等，实现全过程、全专业、各参与方的协同设计。</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阐述采用情况，并提供相关证明文件。</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14</w:t>
            </w:r>
          </w:p>
        </w:tc>
        <w:tc>
          <w:tcPr>
            <w:tcW w:w="3234" w:type="dxa"/>
            <w:vAlign w:val="center"/>
          </w:tcPr>
          <w:p>
            <w:pPr>
              <w:jc w:val="left"/>
              <w:rPr>
                <w:rFonts w:hint="default" w:ascii="宋体" w:hAnsi="宋体" w:eastAsia="宋体" w:cs="宋体"/>
                <w:color w:val="auto"/>
                <w:szCs w:val="21"/>
                <w:lang w:val="en-US" w:eastAsia="zh-CN"/>
              </w:rPr>
            </w:pPr>
            <w:r>
              <w:rPr>
                <w:rFonts w:hint="eastAsia" w:ascii="宋体" w:hAnsi="宋体" w:eastAsia="宋体" w:cs="宋体"/>
                <w:color w:val="auto"/>
                <w:szCs w:val="21"/>
              </w:rPr>
              <w:t>统筹</w:t>
            </w:r>
            <w:r>
              <w:rPr>
                <w:rFonts w:hint="eastAsia" w:ascii="宋体" w:hAnsi="宋体" w:eastAsia="宋体" w:cs="宋体"/>
                <w:color w:val="auto"/>
                <w:szCs w:val="21"/>
                <w:lang w:val="en-US" w:eastAsia="zh-CN"/>
              </w:rPr>
              <w:t>备案</w:t>
            </w:r>
            <w:r>
              <w:rPr>
                <w:rFonts w:hint="eastAsia" w:ascii="宋体" w:hAnsi="宋体" w:eastAsia="宋体" w:cs="宋体"/>
                <w:color w:val="auto"/>
                <w:szCs w:val="21"/>
              </w:rPr>
              <w:t>各类建材及设备的设计使用年限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综合考虑项目交付使用后的维护与更换。</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查阅</w:t>
            </w:r>
            <w:r>
              <w:rPr>
                <w:rFonts w:hint="eastAsia" w:ascii="宋体" w:hAnsi="宋体" w:eastAsia="宋体" w:cs="宋体"/>
                <w:color w:val="auto"/>
                <w:szCs w:val="21"/>
              </w:rPr>
              <w:t>建材、设备使用年限统计</w:t>
            </w:r>
            <w:r>
              <w:rPr>
                <w:rFonts w:hint="eastAsia" w:ascii="宋体" w:hAnsi="宋体" w:eastAsia="宋体" w:cs="宋体"/>
                <w:color w:val="auto"/>
                <w:szCs w:val="21"/>
                <w:lang w:val="en-US" w:eastAsia="zh-CN"/>
              </w:rPr>
              <w:t>备案</w:t>
            </w:r>
            <w:r>
              <w:rPr>
                <w:rFonts w:hint="eastAsia" w:ascii="宋体" w:hAnsi="宋体" w:eastAsia="宋体" w:cs="宋体"/>
                <w:color w:val="auto"/>
                <w:szCs w:val="21"/>
              </w:rPr>
              <w:t>表</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15</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强化设计方案技术论证，严格控制设计变更</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根据项目建造过程中的设计变更量核算得分，</w:t>
            </w:r>
            <w:r>
              <w:rPr>
                <w:rFonts w:hint="eastAsia" w:ascii="宋体" w:hAnsi="宋体" w:eastAsia="宋体" w:cs="宋体"/>
                <w:color w:val="auto"/>
                <w:szCs w:val="21"/>
              </w:rPr>
              <w:t>无设计变更</w:t>
            </w:r>
            <w:r>
              <w:rPr>
                <w:rFonts w:hint="eastAsia" w:ascii="宋体" w:hAnsi="宋体" w:eastAsia="宋体" w:cs="宋体"/>
                <w:color w:val="auto"/>
                <w:szCs w:val="21"/>
                <w:lang w:val="en-US" w:eastAsia="zh-CN"/>
              </w:rPr>
              <w:t>得满分</w:t>
            </w:r>
            <w:r>
              <w:rPr>
                <w:rFonts w:hint="eastAsia" w:ascii="宋体" w:hAnsi="宋体" w:eastAsia="宋体" w:cs="宋体"/>
                <w:color w:val="auto"/>
                <w:szCs w:val="21"/>
              </w:rPr>
              <w:t>。</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查看</w:t>
            </w:r>
            <w:r>
              <w:rPr>
                <w:rFonts w:hint="eastAsia" w:ascii="宋体" w:hAnsi="宋体" w:eastAsia="宋体" w:cs="宋体"/>
                <w:color w:val="auto"/>
                <w:szCs w:val="21"/>
                <w:lang w:val="en-US" w:eastAsia="zh-CN"/>
              </w:rPr>
              <w:t>设计变更</w:t>
            </w:r>
            <w:r>
              <w:rPr>
                <w:rFonts w:hint="eastAsia" w:ascii="宋体" w:hAnsi="宋体" w:eastAsia="宋体" w:cs="宋体"/>
                <w:color w:val="auto"/>
                <w:szCs w:val="21"/>
              </w:rPr>
              <w:t>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16</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在设计阶段加强建筑垃圾源头管控，明确建筑垃圾减量化目标和职责分工，提出源头减量、分类管理、就地处置、排放控制的具体措施。</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查看建筑垃圾减量化专项方案，依据《住房和城乡建设部关于推进建筑垃圾减量化的指导意见》（建质〔2020〕46 号）要求编制。</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17</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场地设计应有效利用地域自然条件，尊重城市肌理和地域风貌，实现建筑布局、交通组织、场地环境、场地设施和管网的合理设计。</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查阅场地原地形图、相关设计文件（带地形的规划设计图、总平面图、竖向设计图、景观设计总平面图）及相关说明</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18</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按照“被动式技术优先、主动式技术优化”的原则，优化功能空间布局，充分发掘场地空间、建筑本体与设备在节约资源方面的潜力。</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采用被动式建筑技术及主动式技术优化的设计方案图纸。</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19</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综合考虑安全耐久、节能减排、易于建造等因素，择优选择建筑形体和结构体系。</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查看相关设计</w:t>
            </w:r>
            <w:r>
              <w:rPr>
                <w:rFonts w:hint="eastAsia" w:ascii="宋体" w:hAnsi="宋体" w:eastAsia="宋体" w:cs="宋体"/>
                <w:color w:val="auto"/>
                <w:szCs w:val="21"/>
              </w:rPr>
              <w:t>文件</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20</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根据建筑规模、用途、能源条件以及国家和地区节能环保政策对冷热源方案进行综合论证，合理利用浅层地能、太阳能、风能等可再生能源以及余热资源。</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查阅相关设计文件、计算分析报告。</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21</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体现海绵城市建设理念，采用“渗、滞、蓄、净、用、排”等措施对施工期间及建筑竣工后的场地雨水进行有效统筹控制，溢流排放应与城市雨水排放系统衔接。</w:t>
            </w:r>
          </w:p>
        </w:tc>
        <w:tc>
          <w:tcPr>
            <w:tcW w:w="2576" w:type="dxa"/>
            <w:vAlign w:val="center"/>
          </w:tcPr>
          <w:p>
            <w:pPr>
              <w:jc w:val="both"/>
              <w:rPr>
                <w:rFonts w:ascii="宋体" w:hAnsi="宋体" w:eastAsia="宋体" w:cs="宋体"/>
                <w:color w:val="auto"/>
                <w:szCs w:val="21"/>
              </w:rPr>
            </w:pPr>
            <w:r>
              <w:rPr>
                <w:rFonts w:hint="eastAsia" w:ascii="宋体" w:hAnsi="宋体" w:eastAsia="宋体" w:cs="宋体"/>
                <w:color w:val="auto"/>
                <w:szCs w:val="21"/>
              </w:rPr>
              <w:t>查看相关文件，初步设计等。按照现行国家标准《海绵城市建设评价标准》GB/T 51345执行。</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15"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5"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22</w:t>
            </w:r>
          </w:p>
        </w:tc>
        <w:tc>
          <w:tcPr>
            <w:tcW w:w="3234" w:type="dxa"/>
            <w:vAlign w:val="center"/>
          </w:tcPr>
          <w:p>
            <w:pPr>
              <w:jc w:val="left"/>
              <w:rPr>
                <w:rFonts w:ascii="宋体" w:hAnsi="宋体" w:eastAsia="宋体" w:cs="宋体"/>
                <w:color w:val="auto"/>
                <w:szCs w:val="21"/>
              </w:rPr>
            </w:pPr>
            <w:r>
              <w:rPr>
                <w:rFonts w:hint="eastAsia" w:ascii="宋体" w:hAnsi="宋体" w:eastAsia="宋体" w:cs="宋体"/>
                <w:color w:val="auto"/>
                <w:szCs w:val="21"/>
              </w:rPr>
              <w:t>采用管线分离、一体化装修技术，对建筑围护结构和内外装饰装修构造节点进行精细设计。</w:t>
            </w:r>
          </w:p>
        </w:tc>
        <w:tc>
          <w:tcPr>
            <w:tcW w:w="2576"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查阅土建、装修各专业施工图及其他证明材料</w:t>
            </w:r>
            <w:r>
              <w:rPr>
                <w:rFonts w:hint="eastAsia" w:ascii="宋体" w:hAnsi="宋体" w:eastAsia="宋体" w:cs="宋体"/>
                <w:color w:val="auto"/>
                <w:szCs w:val="21"/>
                <w:lang w:eastAsia="zh-CN"/>
              </w:rPr>
              <w:t>。</w:t>
            </w:r>
          </w:p>
        </w:tc>
        <w:tc>
          <w:tcPr>
            <w:tcW w:w="107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5" w:type="dxa"/>
            <w:vAlign w:val="center"/>
          </w:tcPr>
          <w:p>
            <w:pPr>
              <w:jc w:val="center"/>
              <w:rPr>
                <w:rFonts w:ascii="宋体" w:hAnsi="宋体" w:eastAsia="宋体" w:cs="宋体"/>
                <w:color w:val="auto"/>
                <w:szCs w:val="21"/>
              </w:rPr>
            </w:pPr>
          </w:p>
        </w:tc>
      </w:tr>
    </w:tbl>
    <w:p>
      <w:pPr>
        <w:adjustRightInd w:val="0"/>
        <w:snapToGrid w:val="0"/>
        <w:spacing w:line="300" w:lineRule="exact"/>
        <w:jc w:val="center"/>
        <w:rPr>
          <w:rFonts w:hint="eastAsia" w:ascii="宋体" w:hAnsi="宋体" w:eastAsia="宋体" w:cs="宋体"/>
          <w:b/>
          <w:color w:val="auto"/>
          <w:spacing w:val="4"/>
          <w:kern w:val="0"/>
          <w:szCs w:val="21"/>
        </w:rPr>
      </w:pPr>
      <w:r>
        <w:rPr>
          <w:rFonts w:hint="eastAsia" w:ascii="宋体" w:hAnsi="宋体" w:eastAsia="宋体" w:cs="宋体"/>
          <w:b/>
          <w:color w:val="auto"/>
          <w:spacing w:val="4"/>
          <w:kern w:val="0"/>
          <w:szCs w:val="21"/>
        </w:rPr>
        <w:br w:type="page"/>
      </w:r>
    </w:p>
    <w:tbl>
      <w:tblPr>
        <w:tblStyle w:val="9"/>
        <w:tblW w:w="83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96"/>
        <w:gridCol w:w="3235"/>
        <w:gridCol w:w="2578"/>
        <w:gridCol w:w="1077"/>
        <w:gridCol w:w="10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6"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23</w:t>
            </w:r>
          </w:p>
        </w:tc>
        <w:tc>
          <w:tcPr>
            <w:tcW w:w="3235" w:type="dxa"/>
            <w:vAlign w:val="center"/>
          </w:tcPr>
          <w:p>
            <w:pPr>
              <w:jc w:val="left"/>
              <w:rPr>
                <w:rFonts w:ascii="宋体" w:hAnsi="宋体" w:eastAsia="宋体" w:cs="宋体"/>
                <w:color w:val="auto"/>
                <w:szCs w:val="21"/>
              </w:rPr>
            </w:pPr>
            <w:r>
              <w:rPr>
                <w:rFonts w:hint="eastAsia" w:ascii="宋体" w:hAnsi="宋体" w:eastAsia="宋体" w:cs="宋体"/>
                <w:color w:val="auto"/>
                <w:szCs w:val="21"/>
              </w:rPr>
              <w:t>1、统一设计过程中BIM组织方式、工作界面、模型细度和样板文件。</w:t>
            </w:r>
          </w:p>
          <w:p>
            <w:pPr>
              <w:jc w:val="left"/>
              <w:rPr>
                <w:rFonts w:ascii="宋体" w:hAnsi="宋体" w:eastAsia="宋体" w:cs="宋体"/>
                <w:color w:val="auto"/>
                <w:szCs w:val="21"/>
              </w:rPr>
            </w:pPr>
            <w:r>
              <w:rPr>
                <w:rFonts w:hint="eastAsia" w:ascii="宋体" w:hAnsi="宋体" w:eastAsia="宋体" w:cs="宋体"/>
                <w:color w:val="auto"/>
                <w:szCs w:val="21"/>
              </w:rPr>
              <w:t>2、在设计过程中积累可重复利用及标准化部品构件，丰富和完善 BIM 构件库资源。</w:t>
            </w:r>
          </w:p>
          <w:p>
            <w:pPr>
              <w:jc w:val="left"/>
              <w:rPr>
                <w:rFonts w:ascii="宋体" w:hAnsi="宋体" w:eastAsia="宋体" w:cs="宋体"/>
                <w:color w:val="auto"/>
                <w:szCs w:val="21"/>
              </w:rPr>
            </w:pPr>
            <w:r>
              <w:rPr>
                <w:rFonts w:hint="eastAsia" w:ascii="宋体" w:hAnsi="宋体" w:eastAsia="宋体" w:cs="宋体"/>
                <w:color w:val="auto"/>
                <w:szCs w:val="21"/>
              </w:rPr>
              <w:t>3、集成应用BIM、地理信息系统（GIS）、三维测量等信息技术及模拟分析软件，进行性能模拟分析、设计优化和阶段成果交付。</w:t>
            </w:r>
          </w:p>
          <w:p>
            <w:pPr>
              <w:jc w:val="left"/>
              <w:rPr>
                <w:rFonts w:ascii="宋体" w:hAnsi="宋体" w:eastAsia="宋体" w:cs="宋体"/>
                <w:color w:val="auto"/>
                <w:szCs w:val="21"/>
              </w:rPr>
            </w:pPr>
            <w:r>
              <w:rPr>
                <w:rFonts w:hint="eastAsia" w:ascii="宋体" w:hAnsi="宋体" w:eastAsia="宋体" w:cs="宋体"/>
                <w:color w:val="auto"/>
                <w:szCs w:val="21"/>
              </w:rPr>
              <w:t>4、采用 BIM 信息平台，支撑 BIM 模型存储与集成、版本控制，保障数据安全。</w:t>
            </w:r>
          </w:p>
          <w:p>
            <w:pPr>
              <w:jc w:val="left"/>
              <w:rPr>
                <w:rFonts w:ascii="宋体" w:hAnsi="宋体" w:eastAsia="宋体" w:cs="宋体"/>
                <w:color w:val="auto"/>
                <w:szCs w:val="21"/>
              </w:rPr>
            </w:pPr>
            <w:r>
              <w:rPr>
                <w:rFonts w:hint="eastAsia" w:ascii="宋体" w:hAnsi="宋体" w:eastAsia="宋体" w:cs="宋体"/>
                <w:color w:val="auto"/>
                <w:szCs w:val="21"/>
              </w:rPr>
              <w:t>5、推进 BIM 与项目、企业管理信息系统的集成应用，推动 BIM 与城市信息模型（CIM）平台以及建筑产业互联网的融通联动。</w:t>
            </w:r>
          </w:p>
          <w:p>
            <w:pPr>
              <w:jc w:val="left"/>
              <w:rPr>
                <w:rFonts w:ascii="宋体" w:hAnsi="宋体" w:eastAsia="宋体" w:cs="宋体"/>
                <w:color w:val="auto"/>
                <w:szCs w:val="21"/>
              </w:rPr>
            </w:pPr>
            <w:r>
              <w:rPr>
                <w:rFonts w:hint="eastAsia" w:ascii="宋体" w:hAnsi="宋体" w:eastAsia="宋体" w:cs="宋体"/>
                <w:color w:val="auto"/>
                <w:szCs w:val="21"/>
              </w:rPr>
              <w:t>（满足一条得2分）</w:t>
            </w:r>
          </w:p>
        </w:tc>
        <w:tc>
          <w:tcPr>
            <w:tcW w:w="2578"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rPr>
              <w:t>查看BIM相关设计的文件图纸、文件、技术应用报告</w:t>
            </w:r>
            <w:r>
              <w:rPr>
                <w:rFonts w:hint="eastAsia" w:ascii="宋体" w:hAnsi="宋体" w:eastAsia="宋体" w:cs="宋体"/>
                <w:color w:val="auto"/>
                <w:szCs w:val="21"/>
                <w:lang w:eastAsia="zh-CN"/>
              </w:rPr>
              <w:t>、</w:t>
            </w:r>
            <w:r>
              <w:rPr>
                <w:rFonts w:hint="eastAsia" w:ascii="宋体" w:hAnsi="宋体" w:eastAsia="宋体" w:cs="宋体"/>
                <w:color w:val="auto"/>
                <w:szCs w:val="21"/>
              </w:rPr>
              <w:t>构件资源库等</w:t>
            </w:r>
            <w:r>
              <w:rPr>
                <w:rFonts w:hint="eastAsia" w:ascii="宋体" w:hAnsi="宋体" w:eastAsia="宋体" w:cs="宋体"/>
                <w:color w:val="auto"/>
                <w:szCs w:val="21"/>
                <w:lang w:eastAsia="zh-CN"/>
              </w:rPr>
              <w:t>。</w:t>
            </w:r>
          </w:p>
        </w:tc>
        <w:tc>
          <w:tcPr>
            <w:tcW w:w="1077"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10</w:t>
            </w:r>
          </w:p>
        </w:tc>
        <w:tc>
          <w:tcPr>
            <w:tcW w:w="1010" w:type="dxa"/>
            <w:vAlign w:val="center"/>
          </w:tcPr>
          <w:p>
            <w:pPr>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6" w:type="dxa"/>
            <w:vAlign w:val="center"/>
          </w:tcPr>
          <w:p>
            <w:pPr>
              <w:adjustRightInd w:val="0"/>
              <w:snapToGrid w:val="0"/>
              <w:spacing w:line="300" w:lineRule="exact"/>
              <w:jc w:val="center"/>
              <w:rPr>
                <w:rFonts w:ascii="宋体" w:hAnsi="宋体" w:eastAsia="宋体" w:cs="宋体"/>
                <w:b/>
                <w:color w:val="auto"/>
                <w:spacing w:val="4"/>
                <w:kern w:val="0"/>
                <w:szCs w:val="21"/>
              </w:rPr>
            </w:pPr>
            <w:r>
              <w:rPr>
                <w:rFonts w:hint="eastAsia" w:ascii="宋体" w:hAnsi="宋体" w:eastAsia="宋体" w:cs="宋体"/>
                <w:b/>
                <w:color w:val="auto"/>
                <w:spacing w:val="4"/>
                <w:kern w:val="0"/>
                <w:szCs w:val="21"/>
              </w:rPr>
              <w:t>24</w:t>
            </w:r>
          </w:p>
        </w:tc>
        <w:tc>
          <w:tcPr>
            <w:tcW w:w="3235" w:type="dxa"/>
            <w:vAlign w:val="center"/>
          </w:tcPr>
          <w:p>
            <w:pPr>
              <w:jc w:val="left"/>
              <w:rPr>
                <w:rFonts w:ascii="宋体" w:hAnsi="宋体" w:eastAsia="宋体" w:cs="宋体"/>
                <w:color w:val="auto"/>
                <w:szCs w:val="21"/>
              </w:rPr>
            </w:pPr>
            <w:r>
              <w:rPr>
                <w:rFonts w:hint="eastAsia" w:ascii="宋体" w:hAnsi="宋体" w:eastAsia="宋体" w:cs="宋体"/>
                <w:color w:val="auto"/>
                <w:szCs w:val="21"/>
              </w:rPr>
              <w:t>采用标准化构件和部件，使用集成化模块化建筑部品；实现部品部件、内外装饰装修、围护结构和机电管线等一体化集成。</w:t>
            </w:r>
          </w:p>
        </w:tc>
        <w:tc>
          <w:tcPr>
            <w:tcW w:w="2578" w:type="dxa"/>
            <w:vAlign w:val="center"/>
          </w:tcPr>
          <w:p>
            <w:pPr>
              <w:jc w:val="both"/>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查阅相关设计文件</w:t>
            </w:r>
            <w:r>
              <w:rPr>
                <w:rFonts w:hint="eastAsia" w:ascii="宋体" w:hAnsi="宋体" w:eastAsia="宋体" w:cs="宋体"/>
                <w:color w:val="auto"/>
                <w:szCs w:val="21"/>
                <w:lang w:eastAsia="zh-CN"/>
              </w:rPr>
              <w:t>。</w:t>
            </w:r>
          </w:p>
        </w:tc>
        <w:tc>
          <w:tcPr>
            <w:tcW w:w="1077"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2</w:t>
            </w:r>
          </w:p>
        </w:tc>
        <w:tc>
          <w:tcPr>
            <w:tcW w:w="1010" w:type="dxa"/>
            <w:vAlign w:val="center"/>
          </w:tcPr>
          <w:p>
            <w:pPr>
              <w:jc w:val="center"/>
              <w:rPr>
                <w:rFonts w:ascii="宋体" w:hAnsi="宋体" w:eastAsia="宋体" w:cs="宋体"/>
                <w:color w:val="auto"/>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9"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合  计</w:t>
            </w:r>
          </w:p>
        </w:tc>
        <w:tc>
          <w:tcPr>
            <w:tcW w:w="1077"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1010" w:type="dxa"/>
            <w:vAlign w:val="center"/>
          </w:tcPr>
          <w:p>
            <w:pPr>
              <w:jc w:val="center"/>
              <w:rPr>
                <w:rFonts w:ascii="宋体" w:hAnsi="宋体" w:eastAsia="宋体" w:cs="宋体"/>
                <w:color w:val="auto"/>
                <w:szCs w:val="21"/>
                <w:highlight w:val="yellow"/>
              </w:rPr>
            </w:pPr>
          </w:p>
        </w:tc>
      </w:tr>
    </w:tbl>
    <w:p>
      <w:pPr>
        <w:rPr>
          <w:rFonts w:ascii="宋体" w:hAnsi="宋体" w:cs="宋体"/>
          <w:color w:val="auto"/>
          <w:kern w:val="0"/>
          <w:sz w:val="24"/>
        </w:rPr>
      </w:pPr>
      <w:r>
        <w:rPr>
          <w:rFonts w:hint="eastAsia" w:ascii="宋体" w:hAnsi="宋体" w:cs="宋体"/>
          <w:color w:val="auto"/>
          <w:kern w:val="0"/>
          <w:sz w:val="24"/>
        </w:rPr>
        <w:br w:type="page"/>
      </w:r>
    </w:p>
    <w:p>
      <w:pPr>
        <w:spacing w:before="240" w:line="358" w:lineRule="auto"/>
        <w:ind w:right="91"/>
        <w:rPr>
          <w:rFonts w:ascii="黑体" w:hAnsi="黑体" w:eastAsia="黑体" w:cs="黑体"/>
          <w:b/>
          <w:color w:val="auto"/>
          <w:kern w:val="0"/>
          <w:sz w:val="28"/>
          <w:szCs w:val="28"/>
        </w:rPr>
      </w:pPr>
      <w:r>
        <w:rPr>
          <w:rFonts w:hint="eastAsia" w:ascii="黑体" w:hAnsi="黑体" w:eastAsia="黑体" w:cs="黑体"/>
          <w:b/>
          <w:color w:val="auto"/>
          <w:kern w:val="0"/>
          <w:sz w:val="28"/>
          <w:szCs w:val="28"/>
        </w:rPr>
        <w:t>附件4</w:t>
      </w:r>
    </w:p>
    <w:p>
      <w:pPr>
        <w:spacing w:line="360" w:lineRule="auto"/>
        <w:jc w:val="center"/>
        <w:rPr>
          <w:rFonts w:ascii="宋体" w:hAnsi="宋体" w:eastAsia="宋体" w:cs="Times New Roman"/>
          <w:b/>
          <w:color w:val="auto"/>
          <w:kern w:val="0"/>
          <w:sz w:val="32"/>
          <w:szCs w:val="32"/>
        </w:rPr>
      </w:pPr>
      <w:r>
        <w:rPr>
          <w:rFonts w:hint="eastAsia" w:ascii="宋体" w:hAnsi="宋体" w:eastAsia="宋体" w:cs="Times New Roman"/>
          <w:b/>
          <w:color w:val="auto"/>
          <w:kern w:val="0"/>
          <w:sz w:val="32"/>
          <w:szCs w:val="32"/>
        </w:rPr>
        <w:t>绿色施工评分表</w:t>
      </w:r>
    </w:p>
    <w:tbl>
      <w:tblPr>
        <w:tblStyle w:val="9"/>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3509"/>
        <w:gridCol w:w="2432"/>
        <w:gridCol w:w="869"/>
        <w:gridCol w:w="10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序号</w:t>
            </w:r>
          </w:p>
        </w:tc>
        <w:tc>
          <w:tcPr>
            <w:tcW w:w="3509"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评价内容</w:t>
            </w:r>
          </w:p>
        </w:tc>
        <w:tc>
          <w:tcPr>
            <w:tcW w:w="2432"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评价方法</w:t>
            </w:r>
          </w:p>
        </w:tc>
        <w:tc>
          <w:tcPr>
            <w:tcW w:w="869" w:type="dxa"/>
            <w:vAlign w:val="center"/>
          </w:tcPr>
          <w:p>
            <w:pPr>
              <w:adjustRightInd w:val="0"/>
              <w:snapToGrid w:val="0"/>
              <w:spacing w:line="300" w:lineRule="exact"/>
              <w:jc w:val="center"/>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rPr>
              <w:t>分</w:t>
            </w:r>
            <w:r>
              <w:rPr>
                <w:rFonts w:hint="eastAsia" w:ascii="宋体" w:hAnsi="宋体" w:eastAsia="宋体" w:cs="宋体"/>
                <w:b/>
                <w:bCs/>
                <w:color w:val="auto"/>
                <w:kern w:val="0"/>
                <w:szCs w:val="21"/>
                <w:lang w:val="en-US" w:eastAsia="zh-CN"/>
              </w:rPr>
              <w:t>值</w:t>
            </w:r>
          </w:p>
        </w:tc>
        <w:tc>
          <w:tcPr>
            <w:tcW w:w="1066" w:type="dxa"/>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Times New Roman" w:hAnsi="Times New Roman"/>
                <w:b/>
                <w:color w:val="auto"/>
                <w:kern w:val="0"/>
                <w:szCs w:val="21"/>
              </w:rPr>
              <w:t>得</w:t>
            </w:r>
            <w:r>
              <w:rPr>
                <w:rFonts w:ascii="Times New Roman" w:hAnsi="Times New Roman"/>
                <w:b/>
                <w:color w:val="auto"/>
                <w:kern w:val="0"/>
                <w:szCs w:val="21"/>
                <w:lang w:eastAsia="en-US"/>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22" w:type="dxa"/>
            <w:gridSpan w:val="5"/>
            <w:shd w:val="clear" w:color="auto" w:fill="F1F1F1" w:themeFill="background1" w:themeFillShade="F2"/>
            <w:vAlign w:val="center"/>
          </w:tcPr>
          <w:p>
            <w:pPr>
              <w:adjustRightInd w:val="0"/>
              <w:snapToGrid w:val="0"/>
              <w:spacing w:line="300" w:lineRule="exact"/>
              <w:jc w:val="center"/>
              <w:rPr>
                <w:rFonts w:ascii="宋体" w:hAnsi="宋体" w:eastAsia="宋体" w:cs="宋体"/>
                <w:b/>
                <w:bCs/>
                <w:color w:val="auto"/>
                <w:kern w:val="0"/>
                <w:szCs w:val="21"/>
                <w:lang w:eastAsia="en-US"/>
              </w:rPr>
            </w:pPr>
            <w:r>
              <w:rPr>
                <w:rFonts w:hint="eastAsia" w:ascii="宋体" w:hAnsi="宋体" w:eastAsia="宋体" w:cs="宋体"/>
                <w:b/>
                <w:bCs/>
                <w:color w:val="auto"/>
                <w:kern w:val="0"/>
                <w:szCs w:val="21"/>
                <w:lang w:eastAsia="en-US"/>
              </w:rPr>
              <w:t>控制项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1</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根据绿色施工策划编制绿色施工组织设计、绿色施工方案，并符合《建筑工程绿色施工规范》GB/T50905要求。</w:t>
            </w:r>
          </w:p>
        </w:tc>
        <w:tc>
          <w:tcPr>
            <w:tcW w:w="2432"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查看绿色施工组织设计、绿色施工方案。</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2</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达到《建筑工程绿色施工评价标准》GB/T50640合格等级。</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查看绿色施工评价文件，及现场实施效果</w:t>
            </w:r>
            <w:r>
              <w:rPr>
                <w:rFonts w:hint="eastAsia" w:ascii="宋体" w:hAnsi="宋体" w:eastAsia="宋体" w:cs="宋体"/>
                <w:color w:val="auto"/>
                <w:szCs w:val="21"/>
                <w:lang w:eastAsia="zh-CN"/>
              </w:rPr>
              <w:t>。</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3</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建立与设计、生产、运营维护联动的协同管理机制。</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查看施工与设计、生产、运营协同管理文件</w:t>
            </w:r>
            <w:r>
              <w:rPr>
                <w:rFonts w:hint="eastAsia" w:ascii="宋体" w:hAnsi="宋体" w:eastAsia="宋体" w:cs="宋体"/>
                <w:color w:val="auto"/>
                <w:szCs w:val="21"/>
                <w:lang w:eastAsia="zh-CN"/>
              </w:rPr>
              <w:t>。</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4</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生产单位应采用环保生产工艺和设备设施，并应严格执行质量管理体系、环境管理体系和职业健康安全管理体系。</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w:t>
            </w:r>
            <w:r>
              <w:rPr>
                <w:rFonts w:hint="eastAsia" w:ascii="宋体" w:hAnsi="宋体" w:eastAsia="宋体" w:cs="宋体"/>
                <w:color w:val="auto"/>
                <w:szCs w:val="21"/>
                <w:lang w:eastAsia="zh-CN"/>
              </w:rPr>
              <w:t>。</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5</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生产、施工单位应制定消防疏散、卫生防疫、职业健康安全等管理制度和突发事件应急措施，保障人员身心健康。</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w:t>
            </w:r>
            <w:r>
              <w:rPr>
                <w:rFonts w:hint="eastAsia" w:ascii="宋体" w:hAnsi="宋体" w:eastAsia="宋体" w:cs="宋体"/>
                <w:color w:val="auto"/>
                <w:szCs w:val="21"/>
                <w:lang w:eastAsia="zh-CN"/>
              </w:rPr>
              <w:t>。</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6</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进行三级及以上技术交底，明确绿色设计重点内容、绿色建材产品使用要求。</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查看技术</w:t>
            </w:r>
            <w:r>
              <w:rPr>
                <w:rFonts w:hint="eastAsia" w:ascii="宋体" w:hAnsi="宋体" w:eastAsia="宋体" w:cs="宋体"/>
                <w:color w:val="auto"/>
                <w:szCs w:val="21"/>
              </w:rPr>
              <w:t>交底</w:t>
            </w:r>
            <w:r>
              <w:rPr>
                <w:rFonts w:hint="eastAsia" w:ascii="宋体" w:hAnsi="宋体" w:eastAsia="宋体" w:cs="宋体"/>
                <w:color w:val="auto"/>
                <w:szCs w:val="21"/>
                <w:lang w:val="en-US" w:eastAsia="zh-CN"/>
              </w:rPr>
              <w:t>文件</w:t>
            </w:r>
            <w:r>
              <w:rPr>
                <w:rFonts w:hint="eastAsia" w:ascii="宋体" w:hAnsi="宋体" w:eastAsia="宋体" w:cs="宋体"/>
                <w:color w:val="auto"/>
                <w:szCs w:val="21"/>
                <w:lang w:eastAsia="zh-CN"/>
              </w:rPr>
              <w:t>。</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7</w:t>
            </w:r>
          </w:p>
        </w:tc>
        <w:tc>
          <w:tcPr>
            <w:tcW w:w="3509" w:type="dxa"/>
            <w:vAlign w:val="center"/>
          </w:tcPr>
          <w:p>
            <w:pPr>
              <w:adjustRightInd w:val="0"/>
              <w:snapToGrid w:val="0"/>
              <w:spacing w:line="300" w:lineRule="exact"/>
              <w:jc w:val="left"/>
              <w:rPr>
                <w:rFonts w:hint="eastAsia" w:ascii="宋体" w:hAnsi="宋体" w:eastAsia="宋体" w:cs="宋体"/>
                <w:color w:val="auto"/>
                <w:szCs w:val="21"/>
              </w:rPr>
            </w:pPr>
            <w:r>
              <w:rPr>
                <w:rFonts w:hint="eastAsia"/>
                <w:color w:val="auto"/>
                <w:lang w:val="en-US" w:eastAsia="zh-CN"/>
              </w:rPr>
              <w:t>采用</w:t>
            </w:r>
            <w:r>
              <w:rPr>
                <w:rFonts w:hint="eastAsia"/>
                <w:color w:val="auto"/>
              </w:rPr>
              <w:t>信息化手段监测并分析施工现场扬尘、噪声、光、污水、有害气体、固体废弃物等各类污染物</w:t>
            </w:r>
            <w:r>
              <w:rPr>
                <w:rFonts w:hint="eastAsia"/>
                <w:color w:val="auto"/>
                <w:lang w:eastAsia="zh-CN"/>
              </w:rPr>
              <w:t>。</w:t>
            </w:r>
          </w:p>
          <w:p>
            <w:pPr>
              <w:pStyle w:val="2"/>
              <w:rPr>
                <w:rFonts w:hint="eastAsia" w:ascii="宋体" w:hAnsi="宋体" w:eastAsia="宋体" w:cs="宋体"/>
                <w:color w:val="auto"/>
                <w:szCs w:val="21"/>
              </w:rPr>
            </w:pPr>
          </w:p>
        </w:tc>
        <w:tc>
          <w:tcPr>
            <w:tcW w:w="2432" w:type="dxa"/>
            <w:vAlign w:val="center"/>
          </w:tcPr>
          <w:p>
            <w:pPr>
              <w:pStyle w:val="2"/>
              <w:numPr>
                <w:ilvl w:val="0"/>
                <w:numId w:val="2"/>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查看相关标准规范及当地有关部门对施工现场扬尘、噪声、光、污水、有害气体、固体废弃物等各类污染物指标的规定；</w:t>
            </w:r>
          </w:p>
          <w:p>
            <w:pPr>
              <w:pStyle w:val="2"/>
              <w:numPr>
                <w:ilvl w:val="0"/>
                <w:numId w:val="2"/>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查看现场各类环境指标监测数据及回收处理记录；</w:t>
            </w:r>
          </w:p>
          <w:p>
            <w:pPr>
              <w:pStyle w:val="2"/>
              <w:numPr>
                <w:ilvl w:val="0"/>
                <w:numId w:val="2"/>
              </w:numPr>
              <w:rPr>
                <w:rFonts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SA"/>
              </w:rPr>
              <w:t>查看现场监测设备的运行状况。</w:t>
            </w: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8</w:t>
            </w:r>
          </w:p>
        </w:tc>
        <w:tc>
          <w:tcPr>
            <w:tcW w:w="3509" w:type="dxa"/>
            <w:vAlign w:val="center"/>
          </w:tcPr>
          <w:p>
            <w:pPr>
              <w:adjustRightInd w:val="0"/>
              <w:snapToGrid w:val="0"/>
              <w:spacing w:line="300" w:lineRule="exact"/>
              <w:jc w:val="left"/>
              <w:rPr>
                <w:color w:val="auto"/>
              </w:rPr>
            </w:pPr>
            <w:r>
              <w:rPr>
                <w:rFonts w:hint="eastAsia"/>
                <w:color w:val="auto"/>
              </w:rPr>
              <w:t>编制施工现场建筑垃圾减量化专项方案，实现建筑垃圾源头减量、过程控制。</w:t>
            </w:r>
            <w:r>
              <w:rPr>
                <w:rFonts w:hint="eastAsia" w:asciiTheme="minorHAnsi" w:hAnsiTheme="minorHAnsi" w:eastAsiaTheme="minorEastAsia" w:cstheme="minorBidi"/>
                <w:color w:val="auto"/>
                <w:kern w:val="2"/>
                <w:sz w:val="21"/>
                <w:szCs w:val="24"/>
                <w:lang w:val="en-US" w:eastAsia="zh-CN" w:bidi="ar-SA"/>
              </w:rPr>
              <w:t>采取措施减少固体废弃物产生，建筑垃圾产生量应控制在现浇钢筋混凝土结构每万平方米不大于300吨，装配式建筑每万平方米不大于 200 吨（不包括工程渣土、工程泥浆）。</w:t>
            </w:r>
          </w:p>
        </w:tc>
        <w:tc>
          <w:tcPr>
            <w:tcW w:w="2432"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查看建筑垃圾减量化专项方案，及现场实施效果。</w:t>
            </w:r>
          </w:p>
          <w:p>
            <w:pPr>
              <w:adjustRightInd w:val="0"/>
              <w:snapToGrid w:val="0"/>
              <w:spacing w:line="300" w:lineRule="exact"/>
              <w:jc w:val="left"/>
              <w:rPr>
                <w:rFonts w:ascii="宋体" w:hAnsi="宋体" w:eastAsia="宋体" w:cs="宋体"/>
                <w:color w:val="auto"/>
                <w:szCs w:val="21"/>
              </w:rPr>
            </w:pPr>
          </w:p>
        </w:tc>
        <w:tc>
          <w:tcPr>
            <w:tcW w:w="869"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达标</w:t>
            </w:r>
          </w:p>
        </w:tc>
        <w:tc>
          <w:tcPr>
            <w:tcW w:w="1066" w:type="dxa"/>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□达  标</w:t>
            </w:r>
          </w:p>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color w:val="auto"/>
                <w:szCs w:val="21"/>
              </w:rPr>
              <w:t>□不达标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22" w:type="dxa"/>
            <w:gridSpan w:val="5"/>
            <w:shd w:val="clear" w:color="auto" w:fill="F1F1F1" w:themeFill="background1" w:themeFillShade="F2"/>
            <w:vAlign w:val="center"/>
          </w:tcPr>
          <w:p>
            <w:pPr>
              <w:adjustRightInd w:val="0"/>
              <w:snapToGrid w:val="0"/>
              <w:spacing w:line="300" w:lineRule="exact"/>
              <w:jc w:val="center"/>
              <w:rPr>
                <w:rFonts w:ascii="宋体" w:hAnsi="宋体" w:eastAsia="宋体" w:cs="宋体"/>
                <w:color w:val="auto"/>
                <w:szCs w:val="21"/>
              </w:rPr>
            </w:pPr>
            <w:r>
              <w:rPr>
                <w:rFonts w:hint="eastAsia" w:ascii="宋体" w:hAnsi="宋体" w:eastAsia="宋体" w:cs="宋体"/>
                <w:b/>
                <w:bCs/>
                <w:color w:val="auto"/>
                <w:kern w:val="0"/>
                <w:szCs w:val="21"/>
                <w:lang w:eastAsia="en-US"/>
              </w:rPr>
              <w:t>一般项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9</w:t>
            </w:r>
          </w:p>
        </w:tc>
        <w:tc>
          <w:tcPr>
            <w:tcW w:w="3509"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达到《建筑工程绿色施工评价标准》GB/T50640优良等级。良</w:t>
            </w:r>
            <w:r>
              <w:rPr>
                <w:rFonts w:hint="eastAsia" w:ascii="宋体" w:hAnsi="宋体" w:eastAsia="宋体" w:cs="宋体"/>
                <w:color w:val="auto"/>
                <w:szCs w:val="21"/>
                <w:lang w:val="en-US" w:eastAsia="zh-CN"/>
              </w:rPr>
              <w:t>得</w:t>
            </w:r>
            <w:r>
              <w:rPr>
                <w:rFonts w:hint="eastAsia" w:ascii="宋体" w:hAnsi="宋体" w:eastAsia="宋体" w:cs="宋体"/>
                <w:color w:val="auto"/>
                <w:szCs w:val="21"/>
              </w:rPr>
              <w:t>35分</w:t>
            </w:r>
            <w:r>
              <w:rPr>
                <w:rFonts w:hint="eastAsia" w:ascii="宋体" w:hAnsi="宋体" w:eastAsia="宋体" w:cs="宋体"/>
                <w:color w:val="auto"/>
                <w:szCs w:val="21"/>
                <w:lang w:eastAsia="zh-CN"/>
              </w:rPr>
              <w:t>，</w:t>
            </w:r>
            <w:r>
              <w:rPr>
                <w:rFonts w:hint="eastAsia" w:ascii="宋体" w:hAnsi="宋体" w:eastAsia="宋体" w:cs="宋体"/>
                <w:color w:val="auto"/>
                <w:szCs w:val="21"/>
              </w:rPr>
              <w:t>优</w:t>
            </w:r>
            <w:r>
              <w:rPr>
                <w:rFonts w:hint="eastAsia" w:ascii="宋体" w:hAnsi="宋体" w:eastAsia="宋体" w:cs="宋体"/>
                <w:color w:val="auto"/>
                <w:szCs w:val="21"/>
                <w:lang w:val="en-US" w:eastAsia="zh-CN"/>
              </w:rPr>
              <w:t>得</w:t>
            </w:r>
            <w:r>
              <w:rPr>
                <w:rFonts w:hint="eastAsia" w:ascii="宋体" w:hAnsi="宋体" w:eastAsia="宋体" w:cs="宋体"/>
                <w:color w:val="auto"/>
                <w:szCs w:val="21"/>
              </w:rPr>
              <w:t>40分</w:t>
            </w:r>
            <w:r>
              <w:rPr>
                <w:rFonts w:hint="eastAsia" w:ascii="宋体" w:hAnsi="宋体" w:eastAsia="宋体" w:cs="宋体"/>
                <w:color w:val="auto"/>
                <w:szCs w:val="21"/>
                <w:lang w:eastAsia="zh-CN"/>
              </w:rPr>
              <w:t>。</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查看绿色施工评价文件，及现场实施效果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35、</w:t>
            </w:r>
            <w:r>
              <w:rPr>
                <w:rFonts w:hint="default" w:ascii="Times New Roman" w:hAnsi="Times New Roman" w:eastAsia="宋体" w:cs="Times New Roman"/>
                <w:color w:val="auto"/>
                <w:szCs w:val="21"/>
              </w:rPr>
              <w:t>40</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10</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根据《河北省智慧工地示范工程评价管理办法（试行）》（冀建协字[2020]12号）评定为智慧工地示范工程的项目，一星级得8分、二星级得10分、三星级得12分</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查看智慧工地评价文件，及现场实施效果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8、10、</w:t>
            </w:r>
            <w:r>
              <w:rPr>
                <w:rFonts w:hint="default" w:ascii="Times New Roman" w:hAnsi="Times New Roman" w:eastAsia="宋体" w:cs="Times New Roman"/>
                <w:color w:val="auto"/>
                <w:szCs w:val="21"/>
              </w:rPr>
              <w:t>12</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11</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采用“建筑业10项新技术”，采用1项得3分、2项及以上6分</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6</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12</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在项目前期进行设计与施工协同，根据工程实际情况及施工能力优化设计方案，提高施工机械化、工业化、信息化水平。加强施工人员与设计人员紧密沟通，开展效益优化。</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查看优化设计文件，及现场实施效果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13</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设计单位结合加工、运输、安装方案和施工工艺要求，对工程重点、难点部位和复杂节点等进行深化设计。</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查看深化设计文件，及现场实施效果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4</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设计单位参与部品部件生产、运输、堆放等实施方案编制，并与现场施工进行有效协同与联动。</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查看部品部件生产、运输、堆放等实施方案，及现场实施效果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5</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设计单位参与编制临时设施与永久性设施的结合利用实施方案，实现永临结合。</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查看永临结合实施方案，及现场实施效果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6</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建立完善的绿色建材供应链，采用绿色建筑材料、部品部件等。</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查阅相关竣工图、计算分析报告、检测报告、工程决算材料清单、绿色建材标识证书、施工记录</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7</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采用工业化、装配化建造方式，实现工程建 设低消耗、低排放、高质量和高效益。</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8</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采用装配化施工工艺，建筑内外装修优先采用装配式装修等干式工法施工工艺及集成厨卫等模块化部品部 件，减少现场切割及湿作业。</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19</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制定建筑垃圾资源化利用方案。</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查看建筑垃圾资源化利用方案，及相关竣工图、垃圾收集设施布置图</w:t>
            </w:r>
            <w:r>
              <w:rPr>
                <w:rFonts w:hint="eastAsia" w:ascii="宋体" w:hAnsi="宋体" w:eastAsia="宋体" w:cs="宋体"/>
                <w:color w:val="auto"/>
                <w:szCs w:val="21"/>
                <w:lang w:eastAsia="zh-CN"/>
              </w:rPr>
              <w:t>；</w:t>
            </w:r>
            <w:r>
              <w:rPr>
                <w:rFonts w:hint="eastAsia" w:ascii="宋体" w:hAnsi="宋体" w:eastAsia="宋体" w:cs="宋体"/>
                <w:color w:val="auto"/>
                <w:szCs w:val="21"/>
              </w:rPr>
              <w:t>投入使用的项目尚应查阅相关管理制度、垃圾站运行记录（定期清洗与消杀记录、垃圾清运记录等）</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20</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使用新型模架体系，提高施工临时设施和周转材料的工业化程度和周转次数。</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1</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部品部件安装采用与其相匹配的工具化、标准化工装系统，采用适用的安装工法，制定合理的安装工序，减 少现场支模和脚手架搭建。</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adjustRightInd w:val="0"/>
              <w:snapToGrid w:val="0"/>
              <w:spacing w:line="30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2</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编制施工现场水系统规划方案，科学收集和合理利用施工现场雨水、中</w:t>
            </w:r>
            <w:bookmarkStart w:id="0" w:name="_GoBack"/>
            <w:bookmarkEnd w:id="0"/>
            <w:r>
              <w:rPr>
                <w:rFonts w:hint="eastAsia" w:ascii="宋体" w:hAnsi="宋体" w:eastAsia="宋体" w:cs="宋体"/>
                <w:color w:val="auto"/>
                <w:szCs w:val="21"/>
              </w:rPr>
              <w:t>水。</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3</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利用再生材料或可周转材料进行临时场地硬化。</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4</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基于BIM设计信息，推进工厂生产全流程自动化、信息化、智能化。</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查阅相关竣工图、BIM技术应用报告</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46" w:type="dxa"/>
            <w:vAlign w:val="center"/>
          </w:tcPr>
          <w:p>
            <w:pPr>
              <w:adjustRightInd w:val="0"/>
              <w:snapToGrid w:val="0"/>
              <w:spacing w:line="30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5</w:t>
            </w:r>
          </w:p>
        </w:tc>
        <w:tc>
          <w:tcPr>
            <w:tcW w:w="3509" w:type="dxa"/>
            <w:vAlign w:val="center"/>
          </w:tcPr>
          <w:p>
            <w:pPr>
              <w:adjustRightInd w:val="0"/>
              <w:snapToGrid w:val="0"/>
              <w:spacing w:line="300" w:lineRule="exact"/>
              <w:jc w:val="left"/>
              <w:rPr>
                <w:rFonts w:ascii="宋体" w:hAnsi="宋体" w:eastAsia="宋体" w:cs="宋体"/>
                <w:color w:val="auto"/>
                <w:szCs w:val="21"/>
              </w:rPr>
            </w:pPr>
            <w:r>
              <w:rPr>
                <w:rFonts w:hint="eastAsia" w:ascii="宋体" w:hAnsi="宋体" w:eastAsia="宋体" w:cs="宋体"/>
                <w:color w:val="auto"/>
                <w:szCs w:val="21"/>
              </w:rPr>
              <w:t>采用BIM等信息技术进行深化设计和专业协调， 避免“错漏碰缺”等问题。对危险性较大和工序复杂的方案进行三维模拟和可视化交底。</w:t>
            </w:r>
          </w:p>
        </w:tc>
        <w:tc>
          <w:tcPr>
            <w:tcW w:w="2432" w:type="dxa"/>
            <w:vAlign w:val="center"/>
          </w:tcPr>
          <w:p>
            <w:pPr>
              <w:adjustRightInd w:val="0"/>
              <w:snapToGrid w:val="0"/>
              <w:spacing w:line="3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查看相关文件，及现场实施效果</w:t>
            </w:r>
            <w:r>
              <w:rPr>
                <w:rFonts w:hint="eastAsia" w:ascii="宋体" w:hAnsi="宋体" w:eastAsia="宋体" w:cs="宋体"/>
                <w:color w:val="auto"/>
                <w:szCs w:val="21"/>
                <w:lang w:eastAsia="zh-CN"/>
              </w:rPr>
              <w:t>。</w:t>
            </w:r>
          </w:p>
        </w:tc>
        <w:tc>
          <w:tcPr>
            <w:tcW w:w="869"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en-US" w:eastAsia="zh-CN" w:bidi="ar"/>
              </w:rPr>
              <w:t>0~</w:t>
            </w:r>
            <w:r>
              <w:rPr>
                <w:rFonts w:hint="default" w:ascii="Times New Roman" w:hAnsi="Times New Roman" w:eastAsia="宋体" w:cs="Times New Roman"/>
                <w:color w:val="auto"/>
                <w:szCs w:val="21"/>
              </w:rPr>
              <w:t>3</w:t>
            </w:r>
          </w:p>
        </w:tc>
        <w:tc>
          <w:tcPr>
            <w:tcW w:w="1066" w:type="dxa"/>
            <w:vAlign w:val="center"/>
          </w:tcPr>
          <w:p>
            <w:pPr>
              <w:spacing w:line="240" w:lineRule="exact"/>
              <w:jc w:val="center"/>
              <w:rPr>
                <w:rFonts w:ascii="宋体" w:hAnsi="宋体" w:eastAsia="宋体" w:cs="宋体"/>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587" w:type="dxa"/>
            <w:gridSpan w:val="3"/>
            <w:vAlign w:val="center"/>
          </w:tcPr>
          <w:p>
            <w:pPr>
              <w:adjustRightInd w:val="0"/>
              <w:snapToGrid w:val="0"/>
              <w:spacing w:line="300" w:lineRule="exact"/>
              <w:jc w:val="center"/>
              <w:rPr>
                <w:rFonts w:ascii="宋体" w:hAnsi="宋体" w:eastAsia="宋体" w:cs="宋体"/>
                <w:b/>
                <w:color w:val="auto"/>
                <w:szCs w:val="21"/>
              </w:rPr>
            </w:pPr>
            <w:r>
              <w:rPr>
                <w:rFonts w:hint="eastAsia" w:ascii="宋体" w:hAnsi="宋体" w:eastAsia="宋体" w:cs="宋体"/>
                <w:b/>
                <w:color w:val="auto"/>
                <w:szCs w:val="21"/>
              </w:rPr>
              <w:t>合  计</w:t>
            </w:r>
          </w:p>
        </w:tc>
        <w:tc>
          <w:tcPr>
            <w:tcW w:w="869" w:type="dxa"/>
            <w:vAlign w:val="center"/>
          </w:tcPr>
          <w:p>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1066" w:type="dxa"/>
            <w:vAlign w:val="center"/>
          </w:tcPr>
          <w:p>
            <w:pPr>
              <w:spacing w:line="240" w:lineRule="exact"/>
              <w:jc w:val="center"/>
              <w:rPr>
                <w:rFonts w:ascii="宋体" w:hAnsi="宋体" w:eastAsia="宋体" w:cs="宋体"/>
                <w:color w:val="auto"/>
                <w:szCs w:val="21"/>
              </w:rPr>
            </w:pPr>
          </w:p>
        </w:tc>
      </w:tr>
    </w:tbl>
    <w:p>
      <w:pPr>
        <w:spacing w:before="240" w:line="358" w:lineRule="auto"/>
        <w:ind w:right="91"/>
        <w:rPr>
          <w:rFonts w:ascii="宋体" w:hAnsi="宋体" w:cs="宋体"/>
          <w:color w:val="auto"/>
          <w:kern w:val="0"/>
          <w:sz w:val="24"/>
        </w:rPr>
      </w:pPr>
    </w:p>
    <w:p>
      <w:pPr>
        <w:spacing w:before="240" w:line="358" w:lineRule="auto"/>
        <w:ind w:right="91"/>
        <w:rPr>
          <w:rFonts w:ascii="黑体" w:hAnsi="黑体" w:eastAsia="黑体" w:cs="黑体"/>
          <w:b/>
          <w:color w:val="auto"/>
          <w:kern w:val="0"/>
          <w:sz w:val="28"/>
          <w:szCs w:val="28"/>
        </w:rPr>
      </w:pPr>
      <w:r>
        <w:rPr>
          <w:rFonts w:hint="eastAsia" w:ascii="宋体" w:hAnsi="宋体" w:cs="宋体"/>
          <w:color w:val="auto"/>
          <w:kern w:val="0"/>
          <w:sz w:val="24"/>
        </w:rPr>
        <w:br w:type="page"/>
      </w:r>
      <w:r>
        <w:rPr>
          <w:rFonts w:hint="eastAsia" w:ascii="黑体" w:hAnsi="黑体" w:eastAsia="黑体" w:cs="黑体"/>
          <w:b/>
          <w:color w:val="auto"/>
          <w:kern w:val="0"/>
          <w:sz w:val="28"/>
          <w:szCs w:val="28"/>
        </w:rPr>
        <w:t>附件5</w:t>
      </w:r>
    </w:p>
    <w:p>
      <w:pPr>
        <w:spacing w:before="240" w:after="156" w:afterLines="50" w:line="358" w:lineRule="auto"/>
        <w:ind w:right="91"/>
        <w:jc w:val="center"/>
        <w:rPr>
          <w:rFonts w:ascii="宋体" w:hAnsi="宋体" w:cs="宋体"/>
          <w:color w:val="auto"/>
          <w:kern w:val="0"/>
          <w:sz w:val="24"/>
        </w:rPr>
      </w:pPr>
      <w:r>
        <w:rPr>
          <w:rFonts w:hint="eastAsia" w:ascii="宋体" w:hAnsi="宋体"/>
          <w:b/>
          <w:color w:val="auto"/>
          <w:kern w:val="0"/>
          <w:sz w:val="32"/>
          <w:szCs w:val="32"/>
        </w:rPr>
        <w:t>优选项评分表</w:t>
      </w:r>
    </w:p>
    <w:tbl>
      <w:tblPr>
        <w:tblStyle w:val="9"/>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3511"/>
        <w:gridCol w:w="2432"/>
        <w:gridCol w:w="975"/>
        <w:gridCol w:w="9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22" w:type="dxa"/>
            <w:gridSpan w:val="5"/>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优选项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序号</w:t>
            </w:r>
          </w:p>
        </w:tc>
        <w:tc>
          <w:tcPr>
            <w:tcW w:w="3511"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评价内容</w:t>
            </w:r>
          </w:p>
        </w:tc>
        <w:tc>
          <w:tcPr>
            <w:tcW w:w="2432"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评价方法</w:t>
            </w:r>
          </w:p>
        </w:tc>
        <w:tc>
          <w:tcPr>
            <w:tcW w:w="975" w:type="dxa"/>
            <w:tcBorders>
              <w:tl2br w:val="nil"/>
              <w:tr2bl w:val="nil"/>
            </w:tcBorders>
            <w:vAlign w:val="center"/>
          </w:tcPr>
          <w:p>
            <w:pPr>
              <w:jc w:val="center"/>
              <w:rPr>
                <w:rFonts w:hint="default" w:ascii="Times New Roman" w:hAnsi="Times New Roman" w:eastAsiaTheme="minorEastAsia"/>
                <w:b/>
                <w:color w:val="auto"/>
                <w:kern w:val="0"/>
                <w:szCs w:val="21"/>
                <w:lang w:val="en-US" w:eastAsia="zh-CN"/>
              </w:rPr>
            </w:pPr>
            <w:r>
              <w:rPr>
                <w:rFonts w:hint="eastAsia" w:ascii="Times New Roman" w:hAnsi="Times New Roman"/>
                <w:b/>
                <w:color w:val="auto"/>
                <w:kern w:val="0"/>
                <w:szCs w:val="21"/>
                <w:lang w:val="en-US" w:eastAsia="zh-CN"/>
              </w:rPr>
              <w:t>分值</w:t>
            </w:r>
          </w:p>
        </w:tc>
        <w:tc>
          <w:tcPr>
            <w:tcW w:w="958" w:type="dxa"/>
            <w:tcBorders>
              <w:tl2br w:val="nil"/>
              <w:tr2bl w:val="nil"/>
            </w:tcBorders>
            <w:vAlign w:val="center"/>
          </w:tcPr>
          <w:p>
            <w:pPr>
              <w:jc w:val="center"/>
              <w:rPr>
                <w:rFonts w:ascii="Times New Roman" w:hAnsi="Times New Roman"/>
                <w:b/>
                <w:color w:val="auto"/>
                <w:kern w:val="0"/>
                <w:szCs w:val="21"/>
                <w:lang w:eastAsia="en-US"/>
              </w:rPr>
            </w:pPr>
            <w:r>
              <w:rPr>
                <w:rFonts w:hint="eastAsia" w:ascii="Times New Roman" w:hAnsi="Times New Roman"/>
                <w:b/>
                <w:color w:val="auto"/>
                <w:kern w:val="0"/>
                <w:szCs w:val="21"/>
              </w:rPr>
              <w:t>得</w:t>
            </w:r>
            <w:r>
              <w:rPr>
                <w:rFonts w:ascii="Times New Roman" w:hAnsi="Times New Roman"/>
                <w:b/>
                <w:color w:val="auto"/>
                <w:kern w:val="0"/>
                <w:szCs w:val="21"/>
                <w:lang w:eastAsia="en-US"/>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1</w:t>
            </w:r>
          </w:p>
        </w:tc>
        <w:tc>
          <w:tcPr>
            <w:tcW w:w="3511" w:type="dxa"/>
            <w:tcBorders>
              <w:tl2br w:val="nil"/>
              <w:tr2bl w:val="nil"/>
            </w:tcBorders>
            <w:vAlign w:val="center"/>
          </w:tcPr>
          <w:p>
            <w:pPr>
              <w:rPr>
                <w:rFonts w:ascii="Times New Roman" w:hAnsi="Times New Roman"/>
                <w:color w:val="auto"/>
                <w:kern w:val="0"/>
                <w:szCs w:val="21"/>
                <w:lang w:eastAsia="en-US"/>
              </w:rPr>
            </w:pPr>
            <w:r>
              <w:rPr>
                <w:rFonts w:ascii="Times New Roman" w:hAnsi="Times New Roman"/>
                <w:color w:val="auto"/>
                <w:kern w:val="0"/>
                <w:szCs w:val="21"/>
                <w:lang w:eastAsia="en-US"/>
              </w:rPr>
              <w:t>采用全过程工程咨询的PPP、EPC、PEPC等工程总承包模式。</w:t>
            </w:r>
          </w:p>
        </w:tc>
        <w:tc>
          <w:tcPr>
            <w:tcW w:w="2432" w:type="dxa"/>
            <w:tcBorders>
              <w:tl2br w:val="nil"/>
              <w:tr2bl w:val="nil"/>
            </w:tcBorders>
            <w:vAlign w:val="center"/>
          </w:tcPr>
          <w:p>
            <w:pPr>
              <w:jc w:val="left"/>
              <w:rPr>
                <w:rFonts w:hint="eastAsia" w:ascii="Times New Roman" w:hAnsi="Times New Roman" w:eastAsiaTheme="minorEastAsia"/>
                <w:color w:val="auto"/>
                <w:kern w:val="0"/>
                <w:szCs w:val="21"/>
                <w:lang w:eastAsia="zh-CN"/>
              </w:rPr>
            </w:pPr>
            <w:r>
              <w:rPr>
                <w:rFonts w:ascii="Times New Roman" w:hAnsi="Times New Roman"/>
                <w:color w:val="auto"/>
                <w:kern w:val="0"/>
                <w:szCs w:val="21"/>
                <w:lang w:eastAsia="en-US"/>
              </w:rPr>
              <w:t>查阅相关合同文本</w:t>
            </w:r>
            <w:r>
              <w:rPr>
                <w:rFonts w:hint="eastAsia" w:ascii="Times New Roman" w:hAnsi="Times New Roman"/>
                <w:color w:val="auto"/>
                <w:kern w:val="0"/>
                <w:szCs w:val="21"/>
                <w:lang w:eastAsia="zh-CN"/>
              </w:rPr>
              <w:t>。</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4</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2</w:t>
            </w:r>
          </w:p>
        </w:tc>
        <w:tc>
          <w:tcPr>
            <w:tcW w:w="3511" w:type="dxa"/>
            <w:tcBorders>
              <w:tl2br w:val="nil"/>
              <w:tr2bl w:val="nil"/>
            </w:tcBorders>
            <w:vAlign w:val="center"/>
          </w:tcPr>
          <w:p>
            <w:pPr>
              <w:jc w:val="left"/>
              <w:rPr>
                <w:rFonts w:ascii="Times New Roman" w:hAnsi="Times New Roman"/>
                <w:color w:val="auto"/>
                <w:kern w:val="0"/>
                <w:szCs w:val="21"/>
                <w:lang w:eastAsia="en-US"/>
              </w:rPr>
            </w:pPr>
            <w:r>
              <w:rPr>
                <w:rFonts w:ascii="Times New Roman" w:hAnsi="Times New Roman"/>
                <w:color w:val="auto"/>
                <w:kern w:val="0"/>
                <w:szCs w:val="21"/>
                <w:lang w:eastAsia="en-US"/>
              </w:rPr>
              <w:t>建立涵盖设计、生产、施工等不同阶段的协同设计机制，实现生产、施工、运营维护各方的前置参与，统筹管理项目方案设计、初步设计、施工图设计。</w:t>
            </w:r>
          </w:p>
        </w:tc>
        <w:tc>
          <w:tcPr>
            <w:tcW w:w="2432" w:type="dxa"/>
            <w:tcBorders>
              <w:tl2br w:val="nil"/>
              <w:tr2bl w:val="nil"/>
            </w:tcBorders>
            <w:vAlign w:val="center"/>
          </w:tcPr>
          <w:p>
            <w:pPr>
              <w:jc w:val="left"/>
              <w:rPr>
                <w:rFonts w:hint="eastAsia" w:ascii="Times New Roman" w:hAnsi="Times New Roman" w:eastAsiaTheme="minorEastAsia"/>
                <w:color w:val="auto"/>
                <w:kern w:val="0"/>
                <w:szCs w:val="21"/>
                <w:lang w:eastAsia="zh-CN"/>
              </w:rPr>
            </w:pPr>
            <w:r>
              <w:rPr>
                <w:rFonts w:ascii="Times New Roman" w:hAnsi="Times New Roman"/>
                <w:color w:val="auto"/>
                <w:kern w:val="0"/>
                <w:szCs w:val="21"/>
                <w:lang w:eastAsia="en-US"/>
              </w:rPr>
              <w:t>查阅设计团队专业设计协同会议纪要和有关设计可施工性的论证会会议纪要</w:t>
            </w:r>
            <w:r>
              <w:rPr>
                <w:rFonts w:hint="eastAsia" w:ascii="Times New Roman" w:hAnsi="Times New Roman"/>
                <w:color w:val="auto"/>
                <w:kern w:val="0"/>
                <w:szCs w:val="21"/>
                <w:lang w:eastAsia="zh-CN"/>
              </w:rPr>
              <w:t>。</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hint="default" w:ascii="Times New Roman" w:hAnsi="Times New Roman" w:eastAsia="宋体" w:cs="Times New Roman"/>
                <w:color w:val="auto"/>
                <w:kern w:val="0"/>
                <w:szCs w:val="21"/>
                <w:lang w:val="en-US" w:eastAsia="zh-CN" w:bidi="ar"/>
              </w:rPr>
              <w:t>0~</w:t>
            </w:r>
            <w:r>
              <w:rPr>
                <w:rFonts w:ascii="Times New Roman" w:hAnsi="Times New Roman"/>
                <w:color w:val="auto"/>
                <w:kern w:val="0"/>
                <w:szCs w:val="21"/>
                <w:lang w:eastAsia="en-US"/>
              </w:rPr>
              <w:t>4</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3</w:t>
            </w:r>
          </w:p>
        </w:tc>
        <w:tc>
          <w:tcPr>
            <w:tcW w:w="3511" w:type="dxa"/>
            <w:tcBorders>
              <w:tl2br w:val="nil"/>
              <w:tr2bl w:val="nil"/>
            </w:tcBorders>
            <w:vAlign w:val="center"/>
          </w:tcPr>
          <w:p>
            <w:pPr>
              <w:jc w:val="left"/>
              <w:rPr>
                <w:rFonts w:ascii="Times New Roman" w:hAnsi="Times New Roman"/>
                <w:color w:val="auto"/>
                <w:kern w:val="0"/>
                <w:szCs w:val="21"/>
                <w:lang w:eastAsia="en-US"/>
              </w:rPr>
            </w:pPr>
            <w:r>
              <w:rPr>
                <w:rFonts w:ascii="Times New Roman" w:hAnsi="Times New Roman"/>
                <w:color w:val="auto"/>
                <w:kern w:val="0"/>
                <w:szCs w:val="21"/>
                <w:lang w:eastAsia="en-US"/>
              </w:rPr>
              <w:t>采用 BIM 面向建造阶段的正向设计、优化设计，支撑不同专业间设计、生产与施工过程。</w:t>
            </w:r>
          </w:p>
        </w:tc>
        <w:tc>
          <w:tcPr>
            <w:tcW w:w="2432" w:type="dxa"/>
            <w:tcBorders>
              <w:tl2br w:val="nil"/>
              <w:tr2bl w:val="nil"/>
            </w:tcBorders>
            <w:vAlign w:val="center"/>
          </w:tcPr>
          <w:p>
            <w:pPr>
              <w:jc w:val="left"/>
              <w:rPr>
                <w:rFonts w:hint="eastAsia" w:ascii="Times New Roman" w:hAnsi="Times New Roman" w:eastAsiaTheme="minorEastAsia"/>
                <w:color w:val="auto"/>
                <w:kern w:val="0"/>
                <w:szCs w:val="21"/>
                <w:lang w:eastAsia="zh-CN"/>
              </w:rPr>
            </w:pPr>
            <w:r>
              <w:rPr>
                <w:rFonts w:ascii="Times New Roman" w:hAnsi="Times New Roman"/>
                <w:color w:val="auto"/>
                <w:kern w:val="0"/>
                <w:szCs w:val="21"/>
                <w:lang w:eastAsia="en-US"/>
              </w:rPr>
              <w:t>查看BIM相关设计的文件图纸、文件等</w:t>
            </w:r>
            <w:r>
              <w:rPr>
                <w:rFonts w:hint="eastAsia" w:ascii="Times New Roman" w:hAnsi="Times New Roman"/>
                <w:color w:val="auto"/>
                <w:kern w:val="0"/>
                <w:szCs w:val="21"/>
                <w:lang w:eastAsia="zh-CN"/>
              </w:rPr>
              <w:t>。</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hint="default" w:ascii="Times New Roman" w:hAnsi="Times New Roman" w:eastAsia="宋体" w:cs="Times New Roman"/>
                <w:color w:val="auto"/>
                <w:kern w:val="0"/>
                <w:szCs w:val="21"/>
                <w:lang w:val="en-US" w:eastAsia="zh-CN" w:bidi="ar"/>
              </w:rPr>
              <w:t>0~</w:t>
            </w:r>
            <w:r>
              <w:rPr>
                <w:rFonts w:ascii="Times New Roman" w:hAnsi="Times New Roman"/>
                <w:color w:val="auto"/>
                <w:kern w:val="0"/>
                <w:szCs w:val="21"/>
                <w:lang w:eastAsia="en-US"/>
              </w:rPr>
              <w:t>4</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4</w:t>
            </w:r>
          </w:p>
        </w:tc>
        <w:tc>
          <w:tcPr>
            <w:tcW w:w="3511" w:type="dxa"/>
            <w:tcBorders>
              <w:tl2br w:val="nil"/>
              <w:tr2bl w:val="nil"/>
            </w:tcBorders>
            <w:vAlign w:val="center"/>
          </w:tcPr>
          <w:p>
            <w:pPr>
              <w:jc w:val="left"/>
              <w:rPr>
                <w:rFonts w:ascii="Times New Roman" w:hAnsi="Times New Roman"/>
                <w:color w:val="auto"/>
                <w:kern w:val="0"/>
                <w:szCs w:val="21"/>
                <w:lang w:eastAsia="en-US"/>
              </w:rPr>
            </w:pPr>
            <w:r>
              <w:rPr>
                <w:rFonts w:ascii="Times New Roman" w:hAnsi="Times New Roman"/>
                <w:color w:val="auto"/>
                <w:kern w:val="0"/>
                <w:szCs w:val="21"/>
                <w:lang w:eastAsia="en-US"/>
              </w:rPr>
              <w:t>通过运用BIM、大数据、云计算、物联网以及移动通讯等信息化技术，促进设计、生产、施工、运营维护等全产业链联动，支持项目多参与方协同工作，实现建造全过程统筹管理。</w:t>
            </w:r>
          </w:p>
        </w:tc>
        <w:tc>
          <w:tcPr>
            <w:tcW w:w="2432" w:type="dxa"/>
            <w:tcBorders>
              <w:tl2br w:val="nil"/>
              <w:tr2bl w:val="nil"/>
            </w:tcBorders>
            <w:vAlign w:val="center"/>
          </w:tcPr>
          <w:p>
            <w:pPr>
              <w:jc w:val="left"/>
              <w:rPr>
                <w:rFonts w:hint="eastAsia" w:ascii="Times New Roman" w:hAnsi="Times New Roman" w:eastAsiaTheme="minorEastAsia"/>
                <w:color w:val="auto"/>
                <w:kern w:val="0"/>
                <w:szCs w:val="21"/>
                <w:lang w:eastAsia="zh-CN"/>
              </w:rPr>
            </w:pPr>
            <w:r>
              <w:rPr>
                <w:rFonts w:ascii="Times New Roman" w:hAnsi="Times New Roman"/>
                <w:color w:val="auto"/>
                <w:kern w:val="0"/>
                <w:szCs w:val="21"/>
                <w:lang w:eastAsia="en-US"/>
              </w:rPr>
              <w:t>查看相关文件，及现场实施效果</w:t>
            </w:r>
            <w:r>
              <w:rPr>
                <w:rFonts w:hint="eastAsia" w:ascii="Times New Roman" w:hAnsi="Times New Roman"/>
                <w:color w:val="auto"/>
                <w:kern w:val="0"/>
                <w:szCs w:val="21"/>
                <w:lang w:eastAsia="zh-CN"/>
              </w:rPr>
              <w:t>。</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hint="default" w:ascii="Times New Roman" w:hAnsi="Times New Roman" w:eastAsia="宋体" w:cs="Times New Roman"/>
                <w:color w:val="auto"/>
                <w:kern w:val="0"/>
                <w:szCs w:val="21"/>
                <w:lang w:val="en-US" w:eastAsia="zh-CN" w:bidi="ar"/>
              </w:rPr>
              <w:t>0~</w:t>
            </w:r>
            <w:r>
              <w:rPr>
                <w:rFonts w:ascii="Times New Roman" w:hAnsi="Times New Roman"/>
                <w:color w:val="auto"/>
                <w:kern w:val="0"/>
                <w:szCs w:val="21"/>
                <w:lang w:eastAsia="en-US"/>
              </w:rPr>
              <w:t>4</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atLeast"/>
          <w:jc w:val="center"/>
        </w:trPr>
        <w:tc>
          <w:tcPr>
            <w:tcW w:w="646" w:type="dxa"/>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5</w:t>
            </w:r>
          </w:p>
        </w:tc>
        <w:tc>
          <w:tcPr>
            <w:tcW w:w="3511" w:type="dxa"/>
            <w:tcBorders>
              <w:tl2br w:val="nil"/>
              <w:tr2bl w:val="nil"/>
            </w:tcBorders>
            <w:vAlign w:val="center"/>
          </w:tcPr>
          <w:p>
            <w:pPr>
              <w:jc w:val="left"/>
              <w:rPr>
                <w:rFonts w:ascii="Times New Roman" w:hAnsi="Times New Roman"/>
                <w:color w:val="auto"/>
                <w:kern w:val="0"/>
                <w:szCs w:val="21"/>
                <w:lang w:eastAsia="en-US"/>
              </w:rPr>
            </w:pPr>
            <w:r>
              <w:rPr>
                <w:rFonts w:ascii="Times New Roman" w:hAnsi="Times New Roman"/>
                <w:color w:val="auto"/>
                <w:kern w:val="0"/>
                <w:szCs w:val="21"/>
                <w:lang w:eastAsia="en-US"/>
              </w:rPr>
              <w:t>企业生产过程采用信息化管理平台+BIM+智慧工地协同的方式。</w:t>
            </w:r>
          </w:p>
        </w:tc>
        <w:tc>
          <w:tcPr>
            <w:tcW w:w="2432" w:type="dxa"/>
            <w:tcBorders>
              <w:tl2br w:val="nil"/>
              <w:tr2bl w:val="nil"/>
            </w:tcBorders>
            <w:vAlign w:val="center"/>
          </w:tcPr>
          <w:p>
            <w:pPr>
              <w:rPr>
                <w:rFonts w:hint="eastAsia" w:ascii="Times New Roman" w:hAnsi="Times New Roman" w:eastAsiaTheme="minorEastAsia"/>
                <w:color w:val="auto"/>
                <w:kern w:val="0"/>
                <w:szCs w:val="21"/>
                <w:lang w:eastAsia="zh-CN"/>
              </w:rPr>
            </w:pPr>
            <w:r>
              <w:rPr>
                <w:rFonts w:ascii="Times New Roman" w:hAnsi="Times New Roman"/>
                <w:color w:val="auto"/>
                <w:kern w:val="0"/>
                <w:szCs w:val="21"/>
                <w:lang w:eastAsia="en-US"/>
              </w:rPr>
              <w:t>查看相关文件，及应用效果</w:t>
            </w:r>
            <w:r>
              <w:rPr>
                <w:rFonts w:hint="eastAsia" w:ascii="Times New Roman" w:hAnsi="Times New Roman"/>
                <w:color w:val="auto"/>
                <w:kern w:val="0"/>
                <w:szCs w:val="21"/>
                <w:lang w:eastAsia="zh-CN"/>
              </w:rPr>
              <w:t>。</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4</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589" w:type="dxa"/>
            <w:gridSpan w:val="3"/>
            <w:tcBorders>
              <w:tl2br w:val="nil"/>
              <w:tr2bl w:val="nil"/>
            </w:tcBorders>
            <w:vAlign w:val="center"/>
          </w:tcPr>
          <w:p>
            <w:pPr>
              <w:jc w:val="center"/>
              <w:rPr>
                <w:rFonts w:ascii="Times New Roman" w:hAnsi="Times New Roman"/>
                <w:b/>
                <w:color w:val="auto"/>
                <w:kern w:val="0"/>
                <w:szCs w:val="21"/>
                <w:lang w:eastAsia="en-US"/>
              </w:rPr>
            </w:pPr>
            <w:r>
              <w:rPr>
                <w:rFonts w:ascii="Times New Roman" w:hAnsi="Times New Roman"/>
                <w:b/>
                <w:color w:val="auto"/>
                <w:kern w:val="0"/>
                <w:szCs w:val="21"/>
                <w:lang w:eastAsia="en-US"/>
              </w:rPr>
              <w:t>合  计</w:t>
            </w:r>
          </w:p>
        </w:tc>
        <w:tc>
          <w:tcPr>
            <w:tcW w:w="975" w:type="dxa"/>
            <w:tcBorders>
              <w:tl2br w:val="nil"/>
              <w:tr2bl w:val="nil"/>
            </w:tcBorders>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20</w:t>
            </w:r>
          </w:p>
        </w:tc>
        <w:tc>
          <w:tcPr>
            <w:tcW w:w="958" w:type="dxa"/>
            <w:tcBorders>
              <w:tl2br w:val="nil"/>
              <w:tr2bl w:val="nil"/>
            </w:tcBorders>
            <w:vAlign w:val="center"/>
          </w:tcPr>
          <w:p>
            <w:pPr>
              <w:jc w:val="center"/>
              <w:rPr>
                <w:rFonts w:ascii="Times New Roman" w:hAnsi="Times New Roman"/>
                <w:color w:val="auto"/>
                <w:kern w:val="0"/>
                <w:szCs w:val="21"/>
                <w:lang w:eastAsia="en-US"/>
              </w:rPr>
            </w:pPr>
          </w:p>
        </w:tc>
      </w:tr>
    </w:tbl>
    <w:p>
      <w:pPr>
        <w:spacing w:before="240" w:line="358" w:lineRule="auto"/>
        <w:ind w:right="91"/>
        <w:rPr>
          <w:rFonts w:ascii="黑体" w:hAnsi="黑体" w:eastAsia="黑体" w:cs="黑体"/>
          <w:b/>
          <w:color w:val="auto"/>
          <w:kern w:val="0"/>
          <w:sz w:val="28"/>
          <w:szCs w:val="28"/>
        </w:rPr>
      </w:pPr>
      <w:r>
        <w:rPr>
          <w:rFonts w:ascii="宋体" w:hAnsi="宋体" w:cs="宋体"/>
          <w:color w:val="auto"/>
          <w:kern w:val="0"/>
          <w:sz w:val="24"/>
        </w:rPr>
        <w:br w:type="page"/>
      </w:r>
      <w:r>
        <w:rPr>
          <w:rFonts w:hint="eastAsia" w:ascii="黑体" w:hAnsi="黑体" w:eastAsia="黑体" w:cs="黑体"/>
          <w:b/>
          <w:color w:val="auto"/>
          <w:kern w:val="0"/>
          <w:sz w:val="28"/>
          <w:szCs w:val="28"/>
        </w:rPr>
        <w:t>附件6</w:t>
      </w:r>
    </w:p>
    <w:p>
      <w:pPr>
        <w:spacing w:before="240" w:after="156" w:afterLines="50" w:line="358" w:lineRule="auto"/>
        <w:ind w:right="91"/>
        <w:jc w:val="center"/>
        <w:rPr>
          <w:rFonts w:ascii="宋体" w:hAnsi="宋体" w:cs="宋体"/>
          <w:color w:val="auto"/>
          <w:kern w:val="0"/>
          <w:sz w:val="24"/>
        </w:rPr>
      </w:pPr>
      <w:r>
        <w:rPr>
          <w:rFonts w:hint="eastAsia" w:ascii="宋体" w:hAnsi="宋体"/>
          <w:b/>
          <w:color w:val="auto"/>
          <w:kern w:val="0"/>
          <w:sz w:val="32"/>
          <w:szCs w:val="32"/>
        </w:rPr>
        <w:t>评价结果汇总表</w:t>
      </w:r>
    </w:p>
    <w:tbl>
      <w:tblPr>
        <w:tblStyle w:val="9"/>
        <w:tblW w:w="83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1658"/>
        <w:gridCol w:w="3700"/>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Align w:val="center"/>
          </w:tcPr>
          <w:p>
            <w:pPr>
              <w:jc w:val="center"/>
              <w:rPr>
                <w:rFonts w:ascii="Times New Roman" w:hAnsi="Times New Roman"/>
                <w:b/>
                <w:bCs/>
                <w:color w:val="auto"/>
                <w:kern w:val="0"/>
                <w:szCs w:val="21"/>
                <w:lang w:eastAsia="en-US"/>
              </w:rPr>
            </w:pPr>
            <w:r>
              <w:rPr>
                <w:rFonts w:ascii="Times New Roman" w:hAnsi="Times New Roman"/>
                <w:b/>
                <w:bCs/>
                <w:color w:val="auto"/>
                <w:kern w:val="0"/>
                <w:szCs w:val="21"/>
                <w:lang w:eastAsia="en-US"/>
              </w:rPr>
              <w:t>项目</w:t>
            </w:r>
          </w:p>
        </w:tc>
        <w:tc>
          <w:tcPr>
            <w:tcW w:w="5358" w:type="dxa"/>
            <w:gridSpan w:val="2"/>
            <w:vAlign w:val="center"/>
          </w:tcPr>
          <w:p>
            <w:pPr>
              <w:jc w:val="center"/>
              <w:rPr>
                <w:rFonts w:ascii="Times New Roman" w:hAnsi="Times New Roman"/>
                <w:b/>
                <w:bCs/>
                <w:color w:val="auto"/>
                <w:kern w:val="0"/>
                <w:szCs w:val="21"/>
              </w:rPr>
            </w:pPr>
            <w:r>
              <w:rPr>
                <w:rFonts w:ascii="Times New Roman" w:hAnsi="Times New Roman"/>
                <w:b/>
                <w:bCs/>
                <w:color w:val="auto"/>
                <w:kern w:val="0"/>
                <w:szCs w:val="21"/>
              </w:rPr>
              <w:t>评价维度</w:t>
            </w:r>
          </w:p>
        </w:tc>
        <w:tc>
          <w:tcPr>
            <w:tcW w:w="1661" w:type="dxa"/>
            <w:vAlign w:val="center"/>
          </w:tcPr>
          <w:p>
            <w:pPr>
              <w:jc w:val="center"/>
              <w:rPr>
                <w:rFonts w:ascii="Times New Roman" w:hAnsi="Times New Roman"/>
                <w:b/>
                <w:color w:val="auto"/>
                <w:kern w:val="0"/>
                <w:szCs w:val="21"/>
              </w:rPr>
            </w:pPr>
            <w:r>
              <w:rPr>
                <w:rFonts w:ascii="Times New Roman" w:hAnsi="Times New Roman"/>
                <w:b/>
                <w:color w:val="auto"/>
                <w:kern w:val="0"/>
                <w:szCs w:val="21"/>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restart"/>
            <w:shd w:val="clear" w:color="auto" w:fill="FFFFFF"/>
            <w:vAlign w:val="center"/>
          </w:tcPr>
          <w:p>
            <w:pPr>
              <w:jc w:val="center"/>
              <w:rPr>
                <w:rFonts w:ascii="Times New Roman" w:hAnsi="Times New Roman"/>
                <w:b/>
                <w:bCs/>
                <w:color w:val="auto"/>
                <w:kern w:val="0"/>
                <w:szCs w:val="21"/>
                <w:lang w:eastAsia="en-US"/>
              </w:rPr>
            </w:pPr>
            <w:r>
              <w:rPr>
                <w:rFonts w:ascii="Times New Roman" w:hAnsi="Times New Roman"/>
                <w:color w:val="auto"/>
                <w:kern w:val="0"/>
                <w:szCs w:val="21"/>
              </w:rPr>
              <w:t>绿色策划Q</w:t>
            </w:r>
            <w:r>
              <w:rPr>
                <w:rFonts w:ascii="Times New Roman" w:hAnsi="Times New Roman"/>
                <w:color w:val="auto"/>
                <w:kern w:val="0"/>
                <w:szCs w:val="21"/>
                <w:vertAlign w:val="subscript"/>
              </w:rPr>
              <w:t>1</w:t>
            </w:r>
          </w:p>
        </w:tc>
        <w:tc>
          <w:tcPr>
            <w:tcW w:w="1658" w:type="dxa"/>
            <w:shd w:val="clear" w:color="auto" w:fill="FFFFFF"/>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控制</w:t>
            </w:r>
            <w:r>
              <w:rPr>
                <w:rFonts w:ascii="Times New Roman" w:hAnsi="Times New Roman"/>
                <w:color w:val="auto"/>
                <w:kern w:val="0"/>
                <w:szCs w:val="21"/>
              </w:rPr>
              <w:t>项</w:t>
            </w:r>
          </w:p>
        </w:tc>
        <w:tc>
          <w:tcPr>
            <w:tcW w:w="3700" w:type="dxa"/>
            <w:shd w:val="clear" w:color="auto" w:fill="FFFFFF"/>
            <w:vAlign w:val="center"/>
          </w:tcPr>
          <w:p>
            <w:pPr>
              <w:jc w:val="center"/>
              <w:rPr>
                <w:rFonts w:ascii="Times New Roman" w:hAnsi="Times New Roman"/>
                <w:color w:val="auto"/>
                <w:kern w:val="0"/>
                <w:szCs w:val="21"/>
              </w:rPr>
            </w:pPr>
            <w:r>
              <w:rPr>
                <w:rFonts w:ascii="Times New Roman" w:hAnsi="Times New Roman"/>
                <w:color w:val="auto"/>
                <w:kern w:val="0"/>
                <w:szCs w:val="21"/>
                <w:lang w:eastAsia="en-US"/>
              </w:rPr>
              <w:t>全部满足</w:t>
            </w:r>
          </w:p>
        </w:tc>
        <w:tc>
          <w:tcPr>
            <w:tcW w:w="1661" w:type="dxa"/>
            <w:shd w:val="clear" w:color="auto" w:fill="FFFFFF"/>
            <w:vAlign w:val="center"/>
          </w:tcPr>
          <w:p>
            <w:pPr>
              <w:adjustRightInd w:val="0"/>
              <w:snapToGrid w:val="0"/>
              <w:spacing w:line="300" w:lineRule="exact"/>
              <w:jc w:val="center"/>
              <w:rPr>
                <w:rFonts w:ascii="Times New Roman" w:hAnsi="Times New Roman" w:eastAsia="宋体"/>
                <w:color w:val="auto"/>
                <w:kern w:val="0"/>
                <w:szCs w:val="21"/>
              </w:rPr>
            </w:pPr>
            <w:r>
              <w:rPr>
                <w:rFonts w:hint="eastAsia" w:ascii="宋体" w:hAnsi="宋体" w:eastAsia="宋体" w:cs="宋体"/>
                <w:color w:val="auto"/>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continue"/>
            <w:shd w:val="clear" w:color="auto" w:fill="FFFFFF"/>
            <w:vAlign w:val="center"/>
          </w:tcPr>
          <w:p>
            <w:pPr>
              <w:jc w:val="center"/>
              <w:rPr>
                <w:rFonts w:ascii="Times New Roman" w:hAnsi="Times New Roman"/>
                <w:color w:val="auto"/>
                <w:kern w:val="0"/>
                <w:szCs w:val="21"/>
              </w:rPr>
            </w:pPr>
          </w:p>
        </w:tc>
        <w:tc>
          <w:tcPr>
            <w:tcW w:w="1658" w:type="dxa"/>
            <w:shd w:val="clear" w:color="auto" w:fill="FFFFFF"/>
            <w:vAlign w:val="center"/>
          </w:tcPr>
          <w:p>
            <w:pPr>
              <w:jc w:val="center"/>
              <w:rPr>
                <w:rFonts w:ascii="Times New Roman" w:hAnsi="Times New Roman"/>
                <w:color w:val="auto"/>
                <w:kern w:val="0"/>
                <w:szCs w:val="21"/>
              </w:rPr>
            </w:pPr>
            <w:r>
              <w:rPr>
                <w:rFonts w:ascii="Times New Roman" w:hAnsi="Times New Roman"/>
                <w:color w:val="auto"/>
                <w:kern w:val="0"/>
                <w:szCs w:val="21"/>
              </w:rPr>
              <w:t>一般项</w:t>
            </w:r>
          </w:p>
        </w:tc>
        <w:tc>
          <w:tcPr>
            <w:tcW w:w="3700" w:type="dxa"/>
            <w:shd w:val="clear" w:color="auto" w:fill="FFFFFF"/>
            <w:vAlign w:val="center"/>
          </w:tcPr>
          <w:p>
            <w:pPr>
              <w:jc w:val="center"/>
              <w:rPr>
                <w:rFonts w:ascii="Times New Roman" w:hAnsi="Times New Roman"/>
                <w:color w:val="auto"/>
                <w:kern w:val="0"/>
                <w:szCs w:val="21"/>
              </w:rPr>
            </w:pPr>
            <w:r>
              <w:rPr>
                <w:rFonts w:ascii="Times New Roman" w:hAnsi="Times New Roman"/>
                <w:color w:val="auto"/>
                <w:kern w:val="0"/>
                <w:szCs w:val="21"/>
              </w:rPr>
              <w:t>100分</w:t>
            </w:r>
          </w:p>
        </w:tc>
        <w:tc>
          <w:tcPr>
            <w:tcW w:w="1661" w:type="dxa"/>
            <w:shd w:val="clear" w:color="auto" w:fill="FFFFFF"/>
            <w:vAlign w:val="center"/>
          </w:tcPr>
          <w:p>
            <w:pPr>
              <w:jc w:val="center"/>
              <w:rPr>
                <w:rFonts w:ascii="Times New Roman" w:hAnsi="Times New Roman"/>
                <w:b/>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绿色设计Q</w:t>
            </w:r>
            <w:r>
              <w:rPr>
                <w:rFonts w:ascii="Times New Roman" w:hAnsi="Times New Roman"/>
                <w:color w:val="auto"/>
                <w:kern w:val="0"/>
                <w:szCs w:val="21"/>
                <w:vertAlign w:val="subscript"/>
              </w:rPr>
              <w:t>2</w:t>
            </w:r>
          </w:p>
        </w:tc>
        <w:tc>
          <w:tcPr>
            <w:tcW w:w="1658" w:type="dxa"/>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控制</w:t>
            </w:r>
            <w:r>
              <w:rPr>
                <w:rFonts w:ascii="Times New Roman" w:hAnsi="Times New Roman"/>
                <w:color w:val="auto"/>
                <w:kern w:val="0"/>
                <w:szCs w:val="21"/>
              </w:rPr>
              <w:t>项</w:t>
            </w:r>
          </w:p>
        </w:tc>
        <w:tc>
          <w:tcPr>
            <w:tcW w:w="3700" w:type="dxa"/>
            <w:vAlign w:val="center"/>
          </w:tcPr>
          <w:p>
            <w:pPr>
              <w:jc w:val="center"/>
              <w:rPr>
                <w:rFonts w:ascii="Times New Roman" w:hAnsi="Times New Roman"/>
                <w:color w:val="auto"/>
                <w:kern w:val="0"/>
                <w:szCs w:val="21"/>
              </w:rPr>
            </w:pPr>
            <w:r>
              <w:rPr>
                <w:rFonts w:ascii="Times New Roman" w:hAnsi="Times New Roman"/>
                <w:color w:val="auto"/>
                <w:kern w:val="0"/>
                <w:szCs w:val="21"/>
                <w:lang w:eastAsia="en-US"/>
              </w:rPr>
              <w:t>全部满足</w:t>
            </w:r>
          </w:p>
        </w:tc>
        <w:tc>
          <w:tcPr>
            <w:tcW w:w="1661" w:type="dxa"/>
            <w:vAlign w:val="center"/>
          </w:tcPr>
          <w:p>
            <w:pPr>
              <w:jc w:val="center"/>
              <w:rPr>
                <w:rFonts w:ascii="Times New Roman" w:hAnsi="Times New Roman"/>
                <w:color w:val="auto"/>
                <w:kern w:val="0"/>
                <w:szCs w:val="21"/>
              </w:rPr>
            </w:pPr>
            <w:r>
              <w:rPr>
                <w:rFonts w:hint="eastAsia" w:ascii="宋体" w:hAnsi="宋体" w:eastAsia="宋体" w:cs="宋体"/>
                <w:color w:val="auto"/>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continue"/>
            <w:vAlign w:val="center"/>
          </w:tcPr>
          <w:p>
            <w:pPr>
              <w:jc w:val="center"/>
              <w:rPr>
                <w:rFonts w:ascii="Times New Roman" w:hAnsi="Times New Roman"/>
                <w:color w:val="auto"/>
                <w:kern w:val="0"/>
                <w:szCs w:val="21"/>
              </w:rPr>
            </w:pPr>
          </w:p>
        </w:tc>
        <w:tc>
          <w:tcPr>
            <w:tcW w:w="1658" w:type="dxa"/>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一般项</w:t>
            </w:r>
          </w:p>
        </w:tc>
        <w:tc>
          <w:tcPr>
            <w:tcW w:w="3700" w:type="dxa"/>
            <w:vAlign w:val="center"/>
          </w:tcPr>
          <w:p>
            <w:pPr>
              <w:jc w:val="center"/>
              <w:rPr>
                <w:rFonts w:ascii="Times New Roman" w:hAnsi="Times New Roman"/>
                <w:color w:val="auto"/>
                <w:kern w:val="0"/>
                <w:szCs w:val="21"/>
              </w:rPr>
            </w:pPr>
            <w:r>
              <w:rPr>
                <w:rFonts w:ascii="Times New Roman" w:hAnsi="Times New Roman"/>
                <w:color w:val="auto"/>
                <w:kern w:val="0"/>
                <w:szCs w:val="21"/>
              </w:rPr>
              <w:t>100分</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绿色施工Q</w:t>
            </w:r>
            <w:r>
              <w:rPr>
                <w:rFonts w:ascii="Times New Roman" w:hAnsi="Times New Roman"/>
                <w:color w:val="auto"/>
                <w:kern w:val="0"/>
                <w:szCs w:val="21"/>
                <w:vertAlign w:val="subscript"/>
              </w:rPr>
              <w:t>3</w:t>
            </w:r>
          </w:p>
        </w:tc>
        <w:tc>
          <w:tcPr>
            <w:tcW w:w="1658" w:type="dxa"/>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控制</w:t>
            </w:r>
            <w:r>
              <w:rPr>
                <w:rFonts w:ascii="Times New Roman" w:hAnsi="Times New Roman"/>
                <w:color w:val="auto"/>
                <w:kern w:val="0"/>
                <w:szCs w:val="21"/>
              </w:rPr>
              <w:t>项</w:t>
            </w:r>
          </w:p>
        </w:tc>
        <w:tc>
          <w:tcPr>
            <w:tcW w:w="3700" w:type="dxa"/>
            <w:vAlign w:val="center"/>
          </w:tcPr>
          <w:p>
            <w:pPr>
              <w:jc w:val="center"/>
              <w:rPr>
                <w:rFonts w:ascii="Times New Roman" w:hAnsi="Times New Roman"/>
                <w:color w:val="auto"/>
                <w:kern w:val="0"/>
                <w:szCs w:val="21"/>
              </w:rPr>
            </w:pPr>
            <w:r>
              <w:rPr>
                <w:rFonts w:ascii="Times New Roman" w:hAnsi="Times New Roman"/>
                <w:color w:val="auto"/>
                <w:kern w:val="0"/>
                <w:szCs w:val="21"/>
              </w:rPr>
              <w:t>全部满足</w:t>
            </w:r>
          </w:p>
        </w:tc>
        <w:tc>
          <w:tcPr>
            <w:tcW w:w="1661" w:type="dxa"/>
            <w:vAlign w:val="center"/>
          </w:tcPr>
          <w:p>
            <w:pPr>
              <w:jc w:val="center"/>
              <w:rPr>
                <w:rFonts w:ascii="Times New Roman" w:hAnsi="Times New Roman"/>
                <w:color w:val="auto"/>
                <w:kern w:val="0"/>
                <w:szCs w:val="21"/>
              </w:rPr>
            </w:pPr>
            <w:r>
              <w:rPr>
                <w:rFonts w:hint="eastAsia" w:ascii="宋体" w:hAnsi="宋体" w:eastAsia="宋体" w:cs="宋体"/>
                <w:color w:val="auto"/>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27" w:type="dxa"/>
            <w:vMerge w:val="continue"/>
            <w:vAlign w:val="center"/>
          </w:tcPr>
          <w:p>
            <w:pPr>
              <w:jc w:val="center"/>
              <w:rPr>
                <w:rFonts w:ascii="Times New Roman" w:hAnsi="Times New Roman"/>
                <w:color w:val="auto"/>
                <w:kern w:val="0"/>
                <w:szCs w:val="21"/>
              </w:rPr>
            </w:pPr>
          </w:p>
        </w:tc>
        <w:tc>
          <w:tcPr>
            <w:tcW w:w="1658" w:type="dxa"/>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一般项</w:t>
            </w:r>
          </w:p>
        </w:tc>
        <w:tc>
          <w:tcPr>
            <w:tcW w:w="3700" w:type="dxa"/>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100</w:t>
            </w:r>
            <w:r>
              <w:rPr>
                <w:rFonts w:ascii="Times New Roman" w:hAnsi="Times New Roman"/>
                <w:color w:val="auto"/>
                <w:kern w:val="0"/>
                <w:szCs w:val="21"/>
              </w:rPr>
              <w:t>分</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85" w:type="dxa"/>
            <w:gridSpan w:val="2"/>
            <w:vAlign w:val="center"/>
          </w:tcPr>
          <w:p>
            <w:pPr>
              <w:jc w:val="center"/>
              <w:rPr>
                <w:rFonts w:ascii="Times New Roman" w:hAnsi="Times New Roman"/>
                <w:color w:val="auto"/>
                <w:kern w:val="0"/>
                <w:szCs w:val="21"/>
              </w:rPr>
            </w:pPr>
            <w:r>
              <w:rPr>
                <w:rFonts w:ascii="Times New Roman" w:hAnsi="Times New Roman"/>
                <w:color w:val="auto"/>
                <w:kern w:val="0"/>
                <w:szCs w:val="21"/>
                <w:lang w:eastAsia="en-US"/>
              </w:rPr>
              <w:t>合计</w:t>
            </w:r>
            <w:r>
              <w:rPr>
                <w:rFonts w:ascii="Times New Roman" w:hAnsi="Times New Roman"/>
                <w:color w:val="auto"/>
                <w:kern w:val="0"/>
                <w:szCs w:val="21"/>
              </w:rPr>
              <w:t>（一般项）</w:t>
            </w:r>
          </w:p>
        </w:tc>
        <w:tc>
          <w:tcPr>
            <w:tcW w:w="3700" w:type="dxa"/>
            <w:vAlign w:val="center"/>
          </w:tcPr>
          <w:p>
            <w:pPr>
              <w:jc w:val="center"/>
              <w:rPr>
                <w:rFonts w:ascii="Times New Roman" w:hAnsi="Times New Roman"/>
                <w:color w:val="auto"/>
                <w:kern w:val="0"/>
                <w:szCs w:val="21"/>
              </w:rPr>
            </w:pPr>
            <w:r>
              <w:rPr>
                <w:rFonts w:ascii="Times New Roman" w:hAnsi="Times New Roman"/>
                <w:color w:val="auto"/>
                <w:kern w:val="0"/>
                <w:szCs w:val="21"/>
              </w:rPr>
              <w:t>各部分乘以权重</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85" w:type="dxa"/>
            <w:gridSpan w:val="2"/>
            <w:vAlign w:val="center"/>
          </w:tcPr>
          <w:p>
            <w:pPr>
              <w:jc w:val="center"/>
              <w:rPr>
                <w:rFonts w:ascii="Times New Roman" w:hAnsi="Times New Roman"/>
                <w:color w:val="auto"/>
                <w:kern w:val="0"/>
                <w:szCs w:val="21"/>
              </w:rPr>
            </w:pPr>
            <w:r>
              <w:rPr>
                <w:rFonts w:ascii="Times New Roman" w:hAnsi="Times New Roman"/>
                <w:color w:val="auto"/>
                <w:kern w:val="0"/>
                <w:szCs w:val="21"/>
                <w:lang w:eastAsia="en-US"/>
              </w:rPr>
              <w:t>合计</w:t>
            </w:r>
            <w:r>
              <w:rPr>
                <w:rFonts w:hint="eastAsia" w:ascii="Times New Roman" w:hAnsi="Times New Roman"/>
                <w:color w:val="auto"/>
                <w:kern w:val="0"/>
                <w:szCs w:val="21"/>
              </w:rPr>
              <w:t>（</w:t>
            </w:r>
            <w:r>
              <w:rPr>
                <w:rFonts w:ascii="Times New Roman" w:hAnsi="Times New Roman"/>
                <w:color w:val="auto"/>
                <w:kern w:val="0"/>
                <w:szCs w:val="21"/>
              </w:rPr>
              <w:t>优选项</w:t>
            </w:r>
            <w:r>
              <w:rPr>
                <w:rFonts w:hint="eastAsia" w:ascii="Times New Roman" w:hAnsi="Times New Roman"/>
                <w:color w:val="auto"/>
                <w:kern w:val="0"/>
                <w:szCs w:val="21"/>
              </w:rPr>
              <w:t>）</w:t>
            </w:r>
          </w:p>
        </w:tc>
        <w:tc>
          <w:tcPr>
            <w:tcW w:w="3700" w:type="dxa"/>
            <w:vAlign w:val="center"/>
          </w:tcPr>
          <w:p>
            <w:pPr>
              <w:jc w:val="center"/>
              <w:rPr>
                <w:rFonts w:ascii="Times New Roman" w:hAnsi="Times New Roman"/>
                <w:color w:val="auto"/>
                <w:kern w:val="0"/>
                <w:szCs w:val="21"/>
              </w:rPr>
            </w:pPr>
            <w:r>
              <w:rPr>
                <w:rFonts w:ascii="Times New Roman" w:hAnsi="Times New Roman"/>
                <w:color w:val="auto"/>
                <w:kern w:val="0"/>
                <w:szCs w:val="21"/>
              </w:rPr>
              <w:t>不乘以权重</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85" w:type="dxa"/>
            <w:gridSpan w:val="3"/>
            <w:vAlign w:val="center"/>
          </w:tcPr>
          <w:p>
            <w:pPr>
              <w:jc w:val="center"/>
              <w:rPr>
                <w:rFonts w:ascii="Times New Roman" w:hAnsi="Times New Roman"/>
                <w:color w:val="auto"/>
                <w:kern w:val="0"/>
                <w:szCs w:val="21"/>
              </w:rPr>
            </w:pPr>
            <w:r>
              <w:rPr>
                <w:rFonts w:ascii="Times New Roman" w:hAnsi="Times New Roman"/>
                <w:color w:val="auto"/>
                <w:kern w:val="0"/>
                <w:szCs w:val="21"/>
                <w:lang w:eastAsia="en-US"/>
              </w:rPr>
              <w:t>合计得分</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85" w:type="dxa"/>
            <w:gridSpan w:val="3"/>
            <w:vAlign w:val="center"/>
          </w:tcPr>
          <w:p>
            <w:pPr>
              <w:jc w:val="center"/>
              <w:rPr>
                <w:rFonts w:ascii="Times New Roman" w:hAnsi="Times New Roman"/>
                <w:color w:val="auto"/>
                <w:kern w:val="0"/>
                <w:szCs w:val="21"/>
                <w:lang w:eastAsia="en-US"/>
              </w:rPr>
            </w:pPr>
            <w:r>
              <w:rPr>
                <w:rFonts w:ascii="Times New Roman" w:hAnsi="Times New Roman"/>
                <w:color w:val="auto"/>
                <w:kern w:val="0"/>
                <w:szCs w:val="21"/>
                <w:lang w:eastAsia="en-US"/>
              </w:rPr>
              <w:t>绿色建造评价等级</w:t>
            </w:r>
          </w:p>
        </w:tc>
        <w:tc>
          <w:tcPr>
            <w:tcW w:w="1661" w:type="dxa"/>
            <w:vAlign w:val="center"/>
          </w:tcPr>
          <w:p>
            <w:pPr>
              <w:jc w:val="center"/>
              <w:rPr>
                <w:rFonts w:ascii="Times New Roman" w:hAnsi="Times New Roman"/>
                <w:color w:val="auto"/>
                <w:kern w:val="0"/>
                <w:szCs w:val="21"/>
              </w:rPr>
            </w:pPr>
            <w:r>
              <w:rPr>
                <w:rFonts w:ascii="Times New Roman" w:hAnsi="Times New Roman"/>
                <w:color w:val="auto"/>
                <w:kern w:val="0"/>
                <w:szCs w:val="21"/>
              </w:rPr>
              <w:t>（）等成果</w:t>
            </w:r>
          </w:p>
        </w:tc>
      </w:tr>
    </w:tbl>
    <w:p>
      <w:pPr>
        <w:spacing w:line="360" w:lineRule="auto"/>
        <w:jc w:val="left"/>
        <w:rPr>
          <w:rFonts w:ascii="方正仿宋简体" w:hAnsi="方正仿宋简体" w:eastAsia="方正仿宋简体" w:cs="方正仿宋简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Lucida Console">
    <w:panose1 w:val="020B0609040504020204"/>
    <w:charset w:val="00"/>
    <w:family w:val="modern"/>
    <w:pitch w:val="default"/>
    <w:sig w:usb0="8000028F" w:usb1="00001800" w:usb2="00000000" w:usb3="00000000" w:csb0="0000001F" w:csb1="D7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4B2D6"/>
    <w:multiLevelType w:val="singleLevel"/>
    <w:tmpl w:val="F0E4B2D6"/>
    <w:lvl w:ilvl="0" w:tentative="0">
      <w:start w:val="25"/>
      <w:numFmt w:val="upperLetter"/>
      <w:suff w:val="nothing"/>
      <w:lvlText w:val="%1-"/>
      <w:lvlJc w:val="left"/>
    </w:lvl>
  </w:abstractNum>
  <w:abstractNum w:abstractNumId="1">
    <w:nsid w:val="444935E1"/>
    <w:multiLevelType w:val="singleLevel"/>
    <w:tmpl w:val="444935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A1MmM1ZTMwNjVmMGNhMDcyMDRmOTg1YTdjMWMifQ=="/>
  </w:docVars>
  <w:rsids>
    <w:rsidRoot w:val="11D0352A"/>
    <w:rsid w:val="000453CA"/>
    <w:rsid w:val="000668C4"/>
    <w:rsid w:val="00067923"/>
    <w:rsid w:val="000C7A24"/>
    <w:rsid w:val="000E0AA9"/>
    <w:rsid w:val="000E15CF"/>
    <w:rsid w:val="000E1989"/>
    <w:rsid w:val="000E294C"/>
    <w:rsid w:val="000E3A38"/>
    <w:rsid w:val="000E4727"/>
    <w:rsid w:val="000F408C"/>
    <w:rsid w:val="00101766"/>
    <w:rsid w:val="00101A7D"/>
    <w:rsid w:val="00106753"/>
    <w:rsid w:val="00112D8A"/>
    <w:rsid w:val="00114D6F"/>
    <w:rsid w:val="00122830"/>
    <w:rsid w:val="00135C28"/>
    <w:rsid w:val="001752FC"/>
    <w:rsid w:val="001B4FEA"/>
    <w:rsid w:val="001D0FD2"/>
    <w:rsid w:val="001E51F3"/>
    <w:rsid w:val="001F4BC3"/>
    <w:rsid w:val="001F7F55"/>
    <w:rsid w:val="002011F4"/>
    <w:rsid w:val="00203910"/>
    <w:rsid w:val="00206123"/>
    <w:rsid w:val="00226ECB"/>
    <w:rsid w:val="0023545C"/>
    <w:rsid w:val="002704C0"/>
    <w:rsid w:val="002A5C7D"/>
    <w:rsid w:val="002D6224"/>
    <w:rsid w:val="0032053C"/>
    <w:rsid w:val="00326298"/>
    <w:rsid w:val="00345D97"/>
    <w:rsid w:val="00351F67"/>
    <w:rsid w:val="003926E2"/>
    <w:rsid w:val="003D031F"/>
    <w:rsid w:val="003D0D8B"/>
    <w:rsid w:val="00400A50"/>
    <w:rsid w:val="00433ED1"/>
    <w:rsid w:val="004811A3"/>
    <w:rsid w:val="004B6F61"/>
    <w:rsid w:val="004D21CD"/>
    <w:rsid w:val="004D3E3A"/>
    <w:rsid w:val="004F49CB"/>
    <w:rsid w:val="004F7C7A"/>
    <w:rsid w:val="00516001"/>
    <w:rsid w:val="00521747"/>
    <w:rsid w:val="00533722"/>
    <w:rsid w:val="00535E0A"/>
    <w:rsid w:val="00540C84"/>
    <w:rsid w:val="00551BE7"/>
    <w:rsid w:val="005A4EC2"/>
    <w:rsid w:val="005A6E80"/>
    <w:rsid w:val="005D5E99"/>
    <w:rsid w:val="00620AAC"/>
    <w:rsid w:val="00632FC6"/>
    <w:rsid w:val="00652847"/>
    <w:rsid w:val="006556E2"/>
    <w:rsid w:val="006631C3"/>
    <w:rsid w:val="00683D44"/>
    <w:rsid w:val="00695283"/>
    <w:rsid w:val="006C1AF7"/>
    <w:rsid w:val="006D6C6D"/>
    <w:rsid w:val="007110B2"/>
    <w:rsid w:val="007261A0"/>
    <w:rsid w:val="007515CB"/>
    <w:rsid w:val="00766593"/>
    <w:rsid w:val="007736CE"/>
    <w:rsid w:val="00780F8E"/>
    <w:rsid w:val="0078153A"/>
    <w:rsid w:val="007832DE"/>
    <w:rsid w:val="00784F25"/>
    <w:rsid w:val="00790571"/>
    <w:rsid w:val="00795D0D"/>
    <w:rsid w:val="007B52A4"/>
    <w:rsid w:val="007C7345"/>
    <w:rsid w:val="007D4549"/>
    <w:rsid w:val="007E3904"/>
    <w:rsid w:val="00853838"/>
    <w:rsid w:val="008742B7"/>
    <w:rsid w:val="00874430"/>
    <w:rsid w:val="00876BB5"/>
    <w:rsid w:val="0088071D"/>
    <w:rsid w:val="00886FB8"/>
    <w:rsid w:val="008906C5"/>
    <w:rsid w:val="008936A9"/>
    <w:rsid w:val="008A0E69"/>
    <w:rsid w:val="008B6A40"/>
    <w:rsid w:val="008E04B3"/>
    <w:rsid w:val="008F2F68"/>
    <w:rsid w:val="009006DC"/>
    <w:rsid w:val="00902280"/>
    <w:rsid w:val="00926809"/>
    <w:rsid w:val="00946FBE"/>
    <w:rsid w:val="0095069C"/>
    <w:rsid w:val="009C70FD"/>
    <w:rsid w:val="009D4227"/>
    <w:rsid w:val="009E39A4"/>
    <w:rsid w:val="00A10102"/>
    <w:rsid w:val="00A1046D"/>
    <w:rsid w:val="00A22AED"/>
    <w:rsid w:val="00A403DD"/>
    <w:rsid w:val="00A45FEA"/>
    <w:rsid w:val="00A50CA4"/>
    <w:rsid w:val="00A62F4C"/>
    <w:rsid w:val="00A90486"/>
    <w:rsid w:val="00A97A0B"/>
    <w:rsid w:val="00AA05E5"/>
    <w:rsid w:val="00AB0472"/>
    <w:rsid w:val="00AC355D"/>
    <w:rsid w:val="00AD405A"/>
    <w:rsid w:val="00AF019B"/>
    <w:rsid w:val="00AF18BA"/>
    <w:rsid w:val="00B02981"/>
    <w:rsid w:val="00B11F64"/>
    <w:rsid w:val="00B21E00"/>
    <w:rsid w:val="00B80F04"/>
    <w:rsid w:val="00BE5927"/>
    <w:rsid w:val="00BE5A1D"/>
    <w:rsid w:val="00C00D45"/>
    <w:rsid w:val="00C0729D"/>
    <w:rsid w:val="00C41F49"/>
    <w:rsid w:val="00C66B22"/>
    <w:rsid w:val="00C67672"/>
    <w:rsid w:val="00CD466A"/>
    <w:rsid w:val="00CE1250"/>
    <w:rsid w:val="00CF6AA6"/>
    <w:rsid w:val="00D034A9"/>
    <w:rsid w:val="00D472D1"/>
    <w:rsid w:val="00D52EDF"/>
    <w:rsid w:val="00D71A2F"/>
    <w:rsid w:val="00D91BFE"/>
    <w:rsid w:val="00D945AE"/>
    <w:rsid w:val="00D946E8"/>
    <w:rsid w:val="00DA7668"/>
    <w:rsid w:val="00DC2C53"/>
    <w:rsid w:val="00DD1E99"/>
    <w:rsid w:val="00DF6F14"/>
    <w:rsid w:val="00E25C70"/>
    <w:rsid w:val="00E262B9"/>
    <w:rsid w:val="00E636DF"/>
    <w:rsid w:val="00E650DE"/>
    <w:rsid w:val="00E80851"/>
    <w:rsid w:val="00E92A9D"/>
    <w:rsid w:val="00EC099F"/>
    <w:rsid w:val="00EC2B77"/>
    <w:rsid w:val="00EC67AA"/>
    <w:rsid w:val="00EC6C0F"/>
    <w:rsid w:val="00EF00ED"/>
    <w:rsid w:val="00F10E4F"/>
    <w:rsid w:val="00F20D7C"/>
    <w:rsid w:val="00F26029"/>
    <w:rsid w:val="00F330FB"/>
    <w:rsid w:val="00F33D29"/>
    <w:rsid w:val="00F50BEC"/>
    <w:rsid w:val="00F62A04"/>
    <w:rsid w:val="00F73BC9"/>
    <w:rsid w:val="00F809BA"/>
    <w:rsid w:val="00F8588F"/>
    <w:rsid w:val="00F9264F"/>
    <w:rsid w:val="00FA7D9E"/>
    <w:rsid w:val="00FB224C"/>
    <w:rsid w:val="00FD33BB"/>
    <w:rsid w:val="00FE3718"/>
    <w:rsid w:val="00FF7C8D"/>
    <w:rsid w:val="01011640"/>
    <w:rsid w:val="011D7EC3"/>
    <w:rsid w:val="02A52A95"/>
    <w:rsid w:val="02C35FDA"/>
    <w:rsid w:val="04B6554C"/>
    <w:rsid w:val="04BC311F"/>
    <w:rsid w:val="05016069"/>
    <w:rsid w:val="05181CB2"/>
    <w:rsid w:val="05545799"/>
    <w:rsid w:val="058B308F"/>
    <w:rsid w:val="060B0898"/>
    <w:rsid w:val="06621073"/>
    <w:rsid w:val="06A00343"/>
    <w:rsid w:val="06CE040A"/>
    <w:rsid w:val="07543DE4"/>
    <w:rsid w:val="075D7833"/>
    <w:rsid w:val="080E7369"/>
    <w:rsid w:val="081F112B"/>
    <w:rsid w:val="0820740A"/>
    <w:rsid w:val="08586A1F"/>
    <w:rsid w:val="09D04B87"/>
    <w:rsid w:val="0A13201C"/>
    <w:rsid w:val="0BA56877"/>
    <w:rsid w:val="0BAF2B6D"/>
    <w:rsid w:val="0D5F7E5E"/>
    <w:rsid w:val="0DEA03C0"/>
    <w:rsid w:val="0E7A3AFC"/>
    <w:rsid w:val="0ED06759"/>
    <w:rsid w:val="0EF178D8"/>
    <w:rsid w:val="0F3004E8"/>
    <w:rsid w:val="0FA81845"/>
    <w:rsid w:val="10467619"/>
    <w:rsid w:val="1089639F"/>
    <w:rsid w:val="10CA3E05"/>
    <w:rsid w:val="10D73FC9"/>
    <w:rsid w:val="113D0733"/>
    <w:rsid w:val="1154595C"/>
    <w:rsid w:val="11903411"/>
    <w:rsid w:val="11D0352A"/>
    <w:rsid w:val="11E84459"/>
    <w:rsid w:val="12735057"/>
    <w:rsid w:val="12C76A12"/>
    <w:rsid w:val="13137393"/>
    <w:rsid w:val="132D0805"/>
    <w:rsid w:val="13760A27"/>
    <w:rsid w:val="13D25043"/>
    <w:rsid w:val="140E74C8"/>
    <w:rsid w:val="14DA3512"/>
    <w:rsid w:val="14DF59BE"/>
    <w:rsid w:val="156331DC"/>
    <w:rsid w:val="15B67362"/>
    <w:rsid w:val="15F81CA0"/>
    <w:rsid w:val="17BD1326"/>
    <w:rsid w:val="17C705A3"/>
    <w:rsid w:val="185510BC"/>
    <w:rsid w:val="18DB101A"/>
    <w:rsid w:val="18FA74FA"/>
    <w:rsid w:val="19CC2A97"/>
    <w:rsid w:val="1A04172A"/>
    <w:rsid w:val="1A136730"/>
    <w:rsid w:val="1A3C1D16"/>
    <w:rsid w:val="1A504766"/>
    <w:rsid w:val="1A68311F"/>
    <w:rsid w:val="1A7772F6"/>
    <w:rsid w:val="1BB43BBA"/>
    <w:rsid w:val="1C313E57"/>
    <w:rsid w:val="1C4C35C5"/>
    <w:rsid w:val="1CD310B0"/>
    <w:rsid w:val="1D222AE4"/>
    <w:rsid w:val="1D244C8C"/>
    <w:rsid w:val="1DB27C45"/>
    <w:rsid w:val="1DF31EE9"/>
    <w:rsid w:val="1E232BB3"/>
    <w:rsid w:val="1E366A68"/>
    <w:rsid w:val="1F3D3C0A"/>
    <w:rsid w:val="1FBE30FE"/>
    <w:rsid w:val="1FDC24B9"/>
    <w:rsid w:val="1FE650A7"/>
    <w:rsid w:val="1FFC53A3"/>
    <w:rsid w:val="200F3B65"/>
    <w:rsid w:val="20287BCD"/>
    <w:rsid w:val="211F12D4"/>
    <w:rsid w:val="213F3052"/>
    <w:rsid w:val="21C87E4E"/>
    <w:rsid w:val="21F0364E"/>
    <w:rsid w:val="22667DBC"/>
    <w:rsid w:val="22711F61"/>
    <w:rsid w:val="22754F18"/>
    <w:rsid w:val="23B363F6"/>
    <w:rsid w:val="2512411F"/>
    <w:rsid w:val="260B1532"/>
    <w:rsid w:val="26394155"/>
    <w:rsid w:val="263D6430"/>
    <w:rsid w:val="268353BE"/>
    <w:rsid w:val="269D6ABE"/>
    <w:rsid w:val="2917144F"/>
    <w:rsid w:val="29B67FAE"/>
    <w:rsid w:val="29CE77E3"/>
    <w:rsid w:val="2A212E5C"/>
    <w:rsid w:val="2AFF59AB"/>
    <w:rsid w:val="2B300F58"/>
    <w:rsid w:val="2CD649E1"/>
    <w:rsid w:val="2D5B21EF"/>
    <w:rsid w:val="2D5F0022"/>
    <w:rsid w:val="2E0B2629"/>
    <w:rsid w:val="2F082DB7"/>
    <w:rsid w:val="2FF47EAD"/>
    <w:rsid w:val="302F5718"/>
    <w:rsid w:val="304E2B20"/>
    <w:rsid w:val="30776332"/>
    <w:rsid w:val="31532658"/>
    <w:rsid w:val="319F21BD"/>
    <w:rsid w:val="31EF23FB"/>
    <w:rsid w:val="33476DB4"/>
    <w:rsid w:val="34166A8A"/>
    <w:rsid w:val="34713E9D"/>
    <w:rsid w:val="34F7644D"/>
    <w:rsid w:val="3531154F"/>
    <w:rsid w:val="35CD49E4"/>
    <w:rsid w:val="36085C56"/>
    <w:rsid w:val="36821016"/>
    <w:rsid w:val="373E244A"/>
    <w:rsid w:val="37DF39F1"/>
    <w:rsid w:val="37FE5C96"/>
    <w:rsid w:val="393555C7"/>
    <w:rsid w:val="394746DF"/>
    <w:rsid w:val="394B715F"/>
    <w:rsid w:val="39A52602"/>
    <w:rsid w:val="39C83CE9"/>
    <w:rsid w:val="3A34610C"/>
    <w:rsid w:val="3A4D0349"/>
    <w:rsid w:val="3AE93299"/>
    <w:rsid w:val="3BEE102A"/>
    <w:rsid w:val="3C326143"/>
    <w:rsid w:val="3CAE5AB1"/>
    <w:rsid w:val="3CEF1867"/>
    <w:rsid w:val="3D2F2E6F"/>
    <w:rsid w:val="3D3872F3"/>
    <w:rsid w:val="3DDA076D"/>
    <w:rsid w:val="3E743B1B"/>
    <w:rsid w:val="3E7E7F3B"/>
    <w:rsid w:val="3EA43EA0"/>
    <w:rsid w:val="3EC043F8"/>
    <w:rsid w:val="3ECB3101"/>
    <w:rsid w:val="3F0B382A"/>
    <w:rsid w:val="3F5C7ED6"/>
    <w:rsid w:val="3FA95734"/>
    <w:rsid w:val="409C512D"/>
    <w:rsid w:val="40FC7518"/>
    <w:rsid w:val="41107CC7"/>
    <w:rsid w:val="413F442E"/>
    <w:rsid w:val="41F85DAD"/>
    <w:rsid w:val="4203780E"/>
    <w:rsid w:val="421C65F6"/>
    <w:rsid w:val="426117E9"/>
    <w:rsid w:val="42AF50DA"/>
    <w:rsid w:val="42B76A09"/>
    <w:rsid w:val="42EC7B6C"/>
    <w:rsid w:val="42F57FFE"/>
    <w:rsid w:val="43036F6B"/>
    <w:rsid w:val="43977A81"/>
    <w:rsid w:val="43BA7EA0"/>
    <w:rsid w:val="43CE4BF5"/>
    <w:rsid w:val="445A7F2E"/>
    <w:rsid w:val="44CC03E0"/>
    <w:rsid w:val="4534621C"/>
    <w:rsid w:val="45916B8B"/>
    <w:rsid w:val="45F46628"/>
    <w:rsid w:val="46616449"/>
    <w:rsid w:val="46E41F5E"/>
    <w:rsid w:val="47663134"/>
    <w:rsid w:val="48692EBB"/>
    <w:rsid w:val="48F834BD"/>
    <w:rsid w:val="490A109E"/>
    <w:rsid w:val="4A9C21C6"/>
    <w:rsid w:val="4B0D5604"/>
    <w:rsid w:val="4B260F47"/>
    <w:rsid w:val="4BA02222"/>
    <w:rsid w:val="4BF55AB0"/>
    <w:rsid w:val="4C4E3D33"/>
    <w:rsid w:val="4C527829"/>
    <w:rsid w:val="4C707D13"/>
    <w:rsid w:val="4CC24074"/>
    <w:rsid w:val="4D5B05BB"/>
    <w:rsid w:val="4D740082"/>
    <w:rsid w:val="4F3948F3"/>
    <w:rsid w:val="4F736F73"/>
    <w:rsid w:val="509A3DE1"/>
    <w:rsid w:val="51230983"/>
    <w:rsid w:val="52124BC4"/>
    <w:rsid w:val="524734BE"/>
    <w:rsid w:val="526D4180"/>
    <w:rsid w:val="53243794"/>
    <w:rsid w:val="53CD1117"/>
    <w:rsid w:val="53EB3D69"/>
    <w:rsid w:val="55C42D9E"/>
    <w:rsid w:val="5618391F"/>
    <w:rsid w:val="57821E82"/>
    <w:rsid w:val="578A4320"/>
    <w:rsid w:val="57AC7EAF"/>
    <w:rsid w:val="57EA6FB8"/>
    <w:rsid w:val="580E3A0A"/>
    <w:rsid w:val="5851639D"/>
    <w:rsid w:val="586B2FC0"/>
    <w:rsid w:val="587C2433"/>
    <w:rsid w:val="588137C1"/>
    <w:rsid w:val="58B26F46"/>
    <w:rsid w:val="58D02930"/>
    <w:rsid w:val="590B252F"/>
    <w:rsid w:val="59FE4BFD"/>
    <w:rsid w:val="5A1A53D2"/>
    <w:rsid w:val="5A410E82"/>
    <w:rsid w:val="5A9750E3"/>
    <w:rsid w:val="5B5E3F4E"/>
    <w:rsid w:val="5C020947"/>
    <w:rsid w:val="5C142628"/>
    <w:rsid w:val="5C402184"/>
    <w:rsid w:val="5C69293F"/>
    <w:rsid w:val="5D2C73AD"/>
    <w:rsid w:val="5D441E19"/>
    <w:rsid w:val="5D661CDC"/>
    <w:rsid w:val="5DDE0348"/>
    <w:rsid w:val="5E5A3A96"/>
    <w:rsid w:val="5F276E96"/>
    <w:rsid w:val="5FA20A6E"/>
    <w:rsid w:val="605F0F74"/>
    <w:rsid w:val="60645091"/>
    <w:rsid w:val="60A96BED"/>
    <w:rsid w:val="6165035B"/>
    <w:rsid w:val="617B3206"/>
    <w:rsid w:val="62826F3F"/>
    <w:rsid w:val="632F27B3"/>
    <w:rsid w:val="63A8488C"/>
    <w:rsid w:val="63BF46EF"/>
    <w:rsid w:val="63FC26FD"/>
    <w:rsid w:val="644165CA"/>
    <w:rsid w:val="64B94E94"/>
    <w:rsid w:val="64DE5AA4"/>
    <w:rsid w:val="64F26148"/>
    <w:rsid w:val="64FF0491"/>
    <w:rsid w:val="65007B3C"/>
    <w:rsid w:val="655169A7"/>
    <w:rsid w:val="66121FBF"/>
    <w:rsid w:val="665D20DD"/>
    <w:rsid w:val="6707053C"/>
    <w:rsid w:val="68181593"/>
    <w:rsid w:val="68AF66FF"/>
    <w:rsid w:val="6A6C2802"/>
    <w:rsid w:val="6A7639A0"/>
    <w:rsid w:val="6AA11564"/>
    <w:rsid w:val="6B1A4D5E"/>
    <w:rsid w:val="6B834EAC"/>
    <w:rsid w:val="6B935E4F"/>
    <w:rsid w:val="6C37706B"/>
    <w:rsid w:val="6C86194E"/>
    <w:rsid w:val="6CD01D71"/>
    <w:rsid w:val="6CFD0C6A"/>
    <w:rsid w:val="6D18387C"/>
    <w:rsid w:val="6D3E7F08"/>
    <w:rsid w:val="6DDB29B6"/>
    <w:rsid w:val="6DE71F31"/>
    <w:rsid w:val="6E096305"/>
    <w:rsid w:val="6E6D2E85"/>
    <w:rsid w:val="6E9A0A20"/>
    <w:rsid w:val="6E9D7D85"/>
    <w:rsid w:val="6FB954FB"/>
    <w:rsid w:val="70031541"/>
    <w:rsid w:val="70487CFE"/>
    <w:rsid w:val="70752B4A"/>
    <w:rsid w:val="70A16EB8"/>
    <w:rsid w:val="713059E9"/>
    <w:rsid w:val="71B01540"/>
    <w:rsid w:val="71E06B5E"/>
    <w:rsid w:val="7232334B"/>
    <w:rsid w:val="727D2EC3"/>
    <w:rsid w:val="728A5496"/>
    <w:rsid w:val="72FA1DEA"/>
    <w:rsid w:val="73101ED5"/>
    <w:rsid w:val="731F766E"/>
    <w:rsid w:val="73414A19"/>
    <w:rsid w:val="73542962"/>
    <w:rsid w:val="736218CB"/>
    <w:rsid w:val="73CF62E8"/>
    <w:rsid w:val="73E45C35"/>
    <w:rsid w:val="749E74C0"/>
    <w:rsid w:val="76A71A4B"/>
    <w:rsid w:val="776F516F"/>
    <w:rsid w:val="7785248C"/>
    <w:rsid w:val="77C92E99"/>
    <w:rsid w:val="78FA7AC7"/>
    <w:rsid w:val="7AE4111A"/>
    <w:rsid w:val="7B1B3235"/>
    <w:rsid w:val="7B674390"/>
    <w:rsid w:val="7BAC098A"/>
    <w:rsid w:val="7C940159"/>
    <w:rsid w:val="7D6E1E7F"/>
    <w:rsid w:val="7DDA09D9"/>
    <w:rsid w:val="7DFF65F3"/>
    <w:rsid w:val="7E880B72"/>
    <w:rsid w:val="7EB830BB"/>
    <w:rsid w:val="7ED9170A"/>
    <w:rsid w:val="7F646913"/>
    <w:rsid w:val="7F731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31"/>
    <w:unhideWhenUsed/>
    <w:qFormat/>
    <w:uiPriority w:val="9"/>
    <w:pPr>
      <w:spacing w:beforeLines="100" w:afterLines="100" w:line="560" w:lineRule="exact"/>
      <w:jc w:val="center"/>
      <w:outlineLvl w:val="1"/>
    </w:pPr>
    <w:rPr>
      <w:rFonts w:ascii="黑体" w:hAnsi="黑体" w:eastAsia="黑体"/>
      <w:b/>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Balloon Text"/>
    <w:basedOn w:val="1"/>
    <w:link w:val="23"/>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120" w:line="740" w:lineRule="exact"/>
      <w:jc w:val="center"/>
      <w:outlineLvl w:val="0"/>
    </w:pPr>
    <w:rPr>
      <w:rFonts w:ascii="等线 Light" w:hAnsi="等线 Light" w:eastAsia="方正小标宋简体"/>
      <w:b/>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ascii="Lucida Console" w:hAnsi="Lucida Console" w:eastAsia="Lucida Console" w:cs="Lucida Console"/>
      <w:sz w:val="18"/>
      <w:szCs w:val="18"/>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hint="default" w:ascii="Lucida Console" w:hAnsi="Lucida Console" w:eastAsia="Lucida Console" w:cs="Lucida Console"/>
      <w:sz w:val="18"/>
      <w:szCs w:val="18"/>
    </w:rPr>
  </w:style>
  <w:style w:type="character" w:styleId="21">
    <w:name w:val="HTML Cite"/>
    <w:basedOn w:val="11"/>
    <w:qFormat/>
    <w:uiPriority w:val="0"/>
  </w:style>
  <w:style w:type="paragraph" w:styleId="22">
    <w:name w:val="List Paragraph"/>
    <w:basedOn w:val="1"/>
    <w:unhideWhenUsed/>
    <w:qFormat/>
    <w:uiPriority w:val="99"/>
    <w:pPr>
      <w:ind w:firstLine="420" w:firstLineChars="200"/>
    </w:pPr>
  </w:style>
  <w:style w:type="character" w:customStyle="1" w:styleId="23">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24">
    <w:name w:val="页眉 Char"/>
    <w:basedOn w:val="11"/>
    <w:link w:val="6"/>
    <w:qFormat/>
    <w:uiPriority w:val="0"/>
    <w:rPr>
      <w:rFonts w:asciiTheme="minorHAnsi" w:hAnsiTheme="minorHAnsi" w:eastAsiaTheme="minorEastAsia" w:cstheme="minorBidi"/>
      <w:kern w:val="2"/>
      <w:sz w:val="18"/>
      <w:szCs w:val="18"/>
    </w:rPr>
  </w:style>
  <w:style w:type="character" w:customStyle="1" w:styleId="25">
    <w:name w:val="页脚 Char"/>
    <w:basedOn w:val="11"/>
    <w:link w:val="5"/>
    <w:qFormat/>
    <w:uiPriority w:val="0"/>
    <w:rPr>
      <w:rFonts w:asciiTheme="minorHAnsi" w:hAnsiTheme="minorHAnsi" w:eastAsiaTheme="minorEastAsia" w:cstheme="minorBidi"/>
      <w:kern w:val="2"/>
      <w:sz w:val="18"/>
      <w:szCs w:val="18"/>
    </w:rPr>
  </w:style>
  <w:style w:type="character" w:customStyle="1" w:styleId="26">
    <w:name w:val="cr"/>
    <w:basedOn w:val="11"/>
    <w:qFormat/>
    <w:uiPriority w:val="0"/>
    <w:rPr>
      <w:color w:val="FFFFFF"/>
      <w:shd w:val="clear" w:color="auto" w:fill="D22D26"/>
    </w:rPr>
  </w:style>
  <w:style w:type="character" w:customStyle="1" w:styleId="27">
    <w:name w:val="after"/>
    <w:basedOn w:val="11"/>
    <w:qFormat/>
    <w:uiPriority w:val="0"/>
  </w:style>
  <w:style w:type="paragraph" w:customStyle="1" w:styleId="28">
    <w:name w:val="CM4"/>
    <w:basedOn w:val="2"/>
    <w:next w:val="2"/>
    <w:unhideWhenUsed/>
    <w:qFormat/>
    <w:uiPriority w:val="99"/>
    <w:pPr>
      <w:spacing w:line="600" w:lineRule="atLeast"/>
    </w:pPr>
  </w:style>
  <w:style w:type="paragraph" w:customStyle="1" w:styleId="29">
    <w:name w:val="CM2"/>
    <w:basedOn w:val="2"/>
    <w:next w:val="2"/>
    <w:unhideWhenUsed/>
    <w:qFormat/>
    <w:uiPriority w:val="99"/>
    <w:pPr>
      <w:spacing w:line="600" w:lineRule="atLeast"/>
    </w:pPr>
  </w:style>
  <w:style w:type="paragraph" w:customStyle="1" w:styleId="30">
    <w:name w:val="CM7"/>
    <w:basedOn w:val="2"/>
    <w:next w:val="2"/>
    <w:unhideWhenUsed/>
    <w:qFormat/>
    <w:uiPriority w:val="99"/>
    <w:pPr>
      <w:spacing w:line="600" w:lineRule="atLeast"/>
    </w:pPr>
  </w:style>
  <w:style w:type="character" w:customStyle="1" w:styleId="31">
    <w:name w:val="标题 2 Char"/>
    <w:basedOn w:val="11"/>
    <w:link w:val="3"/>
    <w:qFormat/>
    <w:uiPriority w:val="9"/>
    <w:rPr>
      <w:rFonts w:ascii="黑体" w:hAnsi="黑体" w:eastAsia="黑体" w:cstheme="minorBidi"/>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0C37C-41EE-48B0-A1CF-686495AE066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6650</Words>
  <Characters>7031</Characters>
  <Lines>55</Lines>
  <Paragraphs>15</Paragraphs>
  <TotalTime>13</TotalTime>
  <ScaleCrop>false</ScaleCrop>
  <LinksUpToDate>false</LinksUpToDate>
  <CharactersWithSpaces>7145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2021-03-18T13:10:00Z</dcterms:created>
  <dc:creator>邸</dc:creator>
  <cp:lastModifiedBy>anan</cp:lastModifiedBy>
  <cp:lastPrinted>2021-07-19T00:45:00Z</cp:lastPrinted>
  <dcterms:modified xsi:type="dcterms:W3CDTF">2022-06-06T06:48:16Z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645548BCBF3F409BBD90A8D66D979031</vt:lpwstr>
  </property>
  <property fmtid="{D5CDD505-2E9C-101B-9397-08002B2CF9AE}" pid="4" name="KSOSaveFontToCloudKey">
    <vt:lpwstr>505679274_btnclosed</vt:lpwstr>
  </property>
</Properties>
</file>