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w w:val="80"/>
          <w:kern w:val="0"/>
          <w:sz w:val="72"/>
          <w:szCs w:val="72"/>
          <w:lang w:eastAsia="zh-CN"/>
        </w:rPr>
      </w:pPr>
      <w:r>
        <w:rPr>
          <w:rFonts w:hint="eastAsia" w:ascii="华文中宋" w:hAnsi="华文中宋" w:eastAsia="华文中宋" w:cs="华文中宋"/>
          <w:color w:val="FF0000"/>
          <w:sz w:val="80"/>
          <w:szCs w:val="80"/>
        </w:rPr>
        <w:t>河北省建筑业协会文件</w:t>
      </w:r>
    </w:p>
    <w:p>
      <w:pPr>
        <w:widowControl/>
        <w:shd w:val="clear" w:color="auto" w:fill="FFFFFF"/>
        <w:spacing w:before="450" w:line="320" w:lineRule="exact"/>
        <w:jc w:val="center"/>
        <w:outlineLvl w:val="0"/>
        <w:rPr>
          <w:rFonts w:hint="eastAsia"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冀建协</w:t>
      </w:r>
      <w:r>
        <w:rPr>
          <w:rFonts w:hint="eastAsia" w:asciiTheme="minorEastAsia" w:hAnsiTheme="minor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字〔202</w:t>
      </w:r>
      <w:r>
        <w:rPr>
          <w:rFonts w:hint="eastAsia" w:asciiTheme="minorEastAsia" w:hAnsiTheme="minor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Theme="minorEastAsia" w:hAnsiTheme="minorEastAsia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88</w:t>
      </w:r>
      <w:r>
        <w:rPr>
          <w:rFonts w:hint="eastAsia" w:asciiTheme="minorEastAsia" w:hAnsiTheme="minor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Cs/>
          <w:kern w:val="2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仿宋_GB2312"/>
          <w:b/>
          <w:bCs/>
          <w:color w:val="FF0000"/>
          <w:sz w:val="32"/>
          <w:szCs w:val="32"/>
        </w:rPr>
        <w:t>—————————————————————————</w:t>
      </w:r>
      <w:r>
        <w:rPr>
          <w:rFonts w:hint="eastAsia" w:ascii="华文中宋" w:hAnsi="华文中宋" w:eastAsia="华文中宋" w:cs="华文中宋"/>
          <w:bCs/>
          <w:kern w:val="2"/>
          <w:sz w:val="36"/>
          <w:szCs w:val="36"/>
          <w:lang w:val="en-US" w:eastAsia="zh-CN"/>
        </w:rPr>
        <w:t>关于举办建筑业“燕赵杯（建设）”建造工匠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Cs/>
          <w:kern w:val="2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kern w:val="2"/>
          <w:sz w:val="36"/>
          <w:szCs w:val="36"/>
          <w:lang w:val="en-US" w:eastAsia="zh-CN"/>
        </w:rPr>
        <w:t>技能展示演讲大赛的通知</w:t>
      </w:r>
    </w:p>
    <w:p>
      <w:pPr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市（含辛集市）建筑业协会、雄安新区建筑业协会、各会员单位、有关</w:t>
      </w:r>
      <w:r>
        <w:rPr>
          <w:rFonts w:hint="eastAsia" w:ascii="华文仿宋" w:hAnsi="华文仿宋" w:eastAsia="华文仿宋"/>
          <w:sz w:val="32"/>
          <w:szCs w:val="32"/>
        </w:rPr>
        <w:t>单位：</w:t>
      </w:r>
    </w:p>
    <w:p>
      <w:pPr>
        <w:ind w:firstLine="640" w:firstLineChars="200"/>
        <w:jc w:val="left"/>
        <w:rPr>
          <w:rFonts w:ascii="仿宋" w:hAnsi="仿宋" w:eastAsia="仿宋"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为深入贯彻落实《河北省国民经济和社会发展第十四个五年规划和二○三五年远景目标纲要》和《河北省建筑业科技创新和人才队伍建设三年行动计划（2022-2024年）》，加强创新型、应用型、技能型人才培养，实施知识更新工程、技能提升行动，壮大高水平工程师和高技能人才队伍，实施科技强省、人才强省和创新驱动发展战略，我会决定举办建筑业“燕赵杯（建设）”建造工匠技能展示演讲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lang w:eastAsia="zh-CN"/>
        </w:rPr>
        <w:t>大赛</w:t>
      </w: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活动</w:t>
      </w:r>
      <w:r>
        <w:rPr>
          <w:rFonts w:ascii="仿宋" w:hAnsi="仿宋" w:eastAsia="仿宋"/>
          <w:color w:val="000000"/>
          <w:kern w:val="2"/>
          <w:sz w:val="32"/>
          <w:szCs w:val="32"/>
        </w:rPr>
        <w:t>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32" w:beforeLines="100" w:after="0" w:line="240" w:lineRule="auto"/>
        <w:ind w:firstLineChars="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大赛组织机构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主办单位：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河北省建筑业协会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承办单位：</w:t>
      </w:r>
      <w:r>
        <w:rPr>
          <w:rFonts w:hint="eastAsia" w:ascii="仿宋" w:hAnsi="仿宋" w:eastAsia="仿宋" w:cs="仿宋"/>
          <w:kern w:val="2"/>
          <w:sz w:val="32"/>
          <w:szCs w:val="32"/>
        </w:rPr>
        <w:t>河北省建筑业协会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总工程师委员会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3" w:firstLineChars="200"/>
        <w:textAlignment w:val="auto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协办单位：</w:t>
      </w:r>
      <w:r>
        <w:rPr>
          <w:rFonts w:hint="eastAsia" w:ascii="仿宋" w:hAnsi="仿宋" w:eastAsia="仿宋" w:cs="仿宋"/>
          <w:kern w:val="2"/>
          <w:sz w:val="32"/>
          <w:szCs w:val="32"/>
        </w:rPr>
        <w:t>河北建设集团股份有限公司</w:t>
      </w:r>
    </w:p>
    <w:p>
      <w:pPr>
        <w:numPr>
          <w:ilvl w:val="0"/>
          <w:numId w:val="1"/>
        </w:numPr>
        <w:spacing w:after="0" w:line="560" w:lineRule="exact"/>
        <w:ind w:left="1300" w:leftChars="0" w:hanging="660" w:firstLineChars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推荐要求</w:t>
      </w:r>
    </w:p>
    <w:p>
      <w:pPr>
        <w:numPr>
          <w:ilvl w:val="0"/>
          <w:numId w:val="0"/>
        </w:num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建造工匠技能展示演讲大赛报名工作由企业统一组织，各市建筑业协会负责推荐审核工作，审核合格后统一将纸质版和电子版申报材料报大赛组委会。</w:t>
      </w:r>
    </w:p>
    <w:p>
      <w:pPr>
        <w:spacing w:after="0" w:line="560" w:lineRule="exact"/>
        <w:ind w:firstLine="736" w:firstLineChars="23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推荐名额：各市建筑业协会经自行初赛选拔后各推荐5名参赛人员，省国资委管理的施工企业各推荐5名参赛人员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736" w:firstLineChars="23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在河北设立分（子）公司的外省市进冀施工企业、央企可参加比赛，由分公司注册地市协会推荐。</w:t>
      </w:r>
    </w:p>
    <w:p>
      <w:pPr>
        <w:spacing w:after="0" w:line="560" w:lineRule="exact"/>
        <w:ind w:firstLine="643" w:firstLineChars="200"/>
        <w:rPr>
          <w:rFonts w:ascii="仿宋" w:hAnsi="仿宋" w:eastAsia="仿宋"/>
          <w:b/>
          <w:bCs/>
          <w:smallCaps/>
          <w:sz w:val="32"/>
          <w:szCs w:val="32"/>
        </w:rPr>
      </w:pPr>
      <w:r>
        <w:rPr>
          <w:rFonts w:hint="eastAsia" w:ascii="仿宋" w:hAnsi="仿宋" w:eastAsia="仿宋"/>
          <w:b/>
          <w:bCs/>
          <w:smallCaps/>
          <w:sz w:val="32"/>
          <w:szCs w:val="32"/>
          <w:lang w:val="en-US" w:eastAsia="zh-CN"/>
        </w:rPr>
        <w:t>三、赛</w:t>
      </w:r>
      <w:r>
        <w:rPr>
          <w:rFonts w:hint="eastAsia" w:ascii="仿宋" w:hAnsi="仿宋" w:eastAsia="仿宋"/>
          <w:b/>
          <w:bCs/>
          <w:smallCaps/>
          <w:sz w:val="32"/>
          <w:szCs w:val="32"/>
        </w:rPr>
        <w:t>程安排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</w:rPr>
        <w:t>初赛时间：各市建筑业协会、相关单位自行组织；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</w:rPr>
        <w:t>推荐时间：202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日前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3、比赛</w:t>
      </w:r>
      <w:r>
        <w:rPr>
          <w:rFonts w:hint="eastAsia" w:ascii="仿宋" w:hAnsi="仿宋" w:eastAsia="仿宋"/>
          <w:sz w:val="32"/>
          <w:szCs w:val="32"/>
        </w:rPr>
        <w:t>时间：202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4、比赛</w:t>
      </w:r>
      <w:r>
        <w:rPr>
          <w:rFonts w:hint="eastAsia" w:ascii="仿宋" w:hAnsi="仿宋" w:eastAsia="仿宋"/>
          <w:sz w:val="32"/>
          <w:szCs w:val="32"/>
        </w:rPr>
        <w:t>地点：河北建设集团股份有限公司会堂。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32" w:beforeLines="100" w:after="0" w:line="240" w:lineRule="auto"/>
        <w:ind w:left="640" w:leftChars="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注意事项</w:t>
      </w:r>
    </w:p>
    <w:p>
      <w:pPr>
        <w:spacing w:after="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书面材料：</w:t>
      </w:r>
      <w:r>
        <w:fldChar w:fldCharType="begin"/>
      </w:r>
      <w:r>
        <w:instrText xml:space="preserve"> HYPERLINK "mailto:以各市建设建材工会和各市建筑业协会为单位，分别上报报名表（名单清册、个人报名表、身份证复印件、社保证明、本人一寸免冠照片一张），发送至邮箱zceri_bim@163.com。"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各市建筑业协会分别将个人报名表、报名汇总表报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大赛组委会办公室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电子版：各市建筑业协会分别将参赛选手申报表、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展示</w:t>
      </w:r>
      <w:r>
        <w:rPr>
          <w:rFonts w:hint="eastAsia" w:ascii="仿宋" w:hAnsi="仿宋" w:eastAsia="仿宋"/>
          <w:sz w:val="32"/>
          <w:szCs w:val="32"/>
        </w:rPr>
        <w:t>PPT(包括个人展示和技术演示，个人展示包括自我介绍及在岗位上最值得分享的成果经验、见解等；技术演示主要针对创新要点、创新实施，创新取得成果及后评价等方面)及报名汇总表统一打包发送至大赛组委会邮箱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32" w:beforeLines="100" w:after="0" w:line="240" w:lineRule="auto"/>
        <w:ind w:left="640" w:leftChars="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奖项设置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大赛设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color w:val="auto"/>
          <w:sz w:val="32"/>
          <w:szCs w:val="32"/>
        </w:rPr>
        <w:t>等奖、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color w:val="auto"/>
          <w:sz w:val="32"/>
          <w:szCs w:val="32"/>
        </w:rPr>
        <w:t>等奖和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color w:val="auto"/>
          <w:sz w:val="32"/>
          <w:szCs w:val="32"/>
        </w:rPr>
        <w:t>等奖，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等奖原则上不超过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申报总数的20%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等奖原则上不超过申报总数的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等奖原则上不超过申报总数的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32" w:beforeLines="100" w:after="0" w:line="240" w:lineRule="auto"/>
        <w:ind w:left="640" w:leftChars="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评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选标准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参见《建筑业“燕赵杯（建设）”建造工匠技能展示演讲大赛管理办法》，演讲时间不超过15分钟，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评审专家从参赛选手个人展示（10分）、技术汇报（50分）、答辩（20分）和综合表现（20分）四个方面打分，按得分从高到低的顺序获得奖励等级，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按总得分多少确定名次。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32" w:beforeLines="100" w:after="0" w:line="240" w:lineRule="auto"/>
        <w:ind w:left="640" w:leftChars="0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七、其他事项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/>
          <w:sz w:val="32"/>
          <w:szCs w:val="32"/>
          <w:lang w:eastAsia="zh-CN"/>
        </w:rPr>
        <w:t>大赛组委会</w:t>
      </w:r>
      <w:r>
        <w:rPr>
          <w:rFonts w:ascii="仿宋" w:hAnsi="仿宋" w:eastAsia="仿宋"/>
          <w:sz w:val="32"/>
          <w:szCs w:val="32"/>
        </w:rPr>
        <w:t>联系方式</w:t>
      </w:r>
    </w:p>
    <w:p>
      <w:pPr>
        <w:spacing w:after="0"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河北省建筑业协会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刘树立13582339185 </w:t>
      </w:r>
    </w:p>
    <w:p>
      <w:pPr>
        <w:spacing w:after="0" w:line="560" w:lineRule="exact"/>
        <w:ind w:left="640" w:leftChars="320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河北建设集团股份有限公司：康俊峰 刘雪萍 0312-3311067 13903122096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请将报名表发送至</w:t>
      </w:r>
      <w:r>
        <w:rPr>
          <w:rFonts w:hint="eastAsia" w:ascii="仿宋" w:hAnsi="仿宋" w:eastAsia="仿宋"/>
          <w:sz w:val="32"/>
          <w:szCs w:val="32"/>
        </w:rPr>
        <w:t>电子邮箱：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22929787</w:t>
      </w:r>
      <w:r>
        <w:rPr>
          <w:rFonts w:hint="eastAsia" w:ascii="仿宋" w:hAnsi="仿宋" w:eastAsia="仿宋"/>
          <w:sz w:val="32"/>
          <w:szCs w:val="32"/>
        </w:rPr>
        <w:t>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qq</w:t>
      </w:r>
      <w:r>
        <w:rPr>
          <w:rFonts w:hint="eastAsia" w:ascii="仿宋" w:hAnsi="仿宋" w:eastAsia="仿宋"/>
          <w:sz w:val="32"/>
          <w:szCs w:val="32"/>
        </w:rPr>
        <w:t>.com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邮寄地址：保定市竞秀区鲁岗路125号  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（二）大赛活动不收取任何费用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pStyle w:val="2"/>
        <w:numPr>
          <w:ilvl w:val="0"/>
          <w:numId w:val="2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参建筑业“燕赵杯（建设）”建造工匠技能展示演讲参赛选手申报表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2、推荐建筑业“燕赵杯（建设）”建造工匠技能展示演讲选手汇总表</w:t>
      </w:r>
    </w:p>
    <w:p>
      <w:pPr>
        <w:pStyle w:val="2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3、《建筑业“燕赵杯（建设）”建造工匠技能展示演讲大赛管理办法》</w:t>
      </w:r>
    </w:p>
    <w:p>
      <w:pPr>
        <w:pStyle w:val="4"/>
        <w:spacing w:line="600" w:lineRule="exact"/>
        <w:jc w:val="center"/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</w:pPr>
    </w:p>
    <w:p>
      <w:pPr>
        <w:pStyle w:val="4"/>
        <w:spacing w:line="600" w:lineRule="exact"/>
        <w:jc w:val="center"/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  <w:t xml:space="preserve">                                河北省建筑业协会</w:t>
      </w:r>
    </w:p>
    <w:p>
      <w:pPr>
        <w:pStyle w:val="4"/>
        <w:spacing w:line="600" w:lineRule="exact"/>
        <w:jc w:val="center"/>
        <w:rPr>
          <w:rFonts w:hint="eastAsia" w:ascii="仿宋" w:hAnsi="仿宋" w:eastAsia="仿宋"/>
          <w:smallCaps w:val="0"/>
          <w:spacing w:val="0"/>
          <w:sz w:val="32"/>
          <w:szCs w:val="32"/>
        </w:rPr>
        <w:sectPr>
          <w:footerReference r:id="rId5" w:type="default"/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32" w:charSpace="0"/>
        </w:sectPr>
      </w:pPr>
      <w:r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/>
          <w:smallCaps w:val="0"/>
          <w:spacing w:val="0"/>
          <w:sz w:val="32"/>
          <w:szCs w:val="32"/>
        </w:rPr>
        <w:t>202</w:t>
      </w:r>
      <w:r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mallCaps w:val="0"/>
          <w:spacing w:val="0"/>
          <w:sz w:val="32"/>
          <w:szCs w:val="32"/>
        </w:rPr>
        <w:t>年</w:t>
      </w:r>
      <w:r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mallCaps w:val="0"/>
          <w:spacing w:val="0"/>
          <w:sz w:val="32"/>
          <w:szCs w:val="32"/>
        </w:rPr>
        <w:t>月</w:t>
      </w:r>
      <w:r>
        <w:rPr>
          <w:rFonts w:hint="eastAsia" w:ascii="仿宋" w:hAnsi="仿宋" w:eastAsia="仿宋"/>
          <w:smallCaps w:val="0"/>
          <w:spacing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mallCaps w:val="0"/>
          <w:spacing w:val="0"/>
          <w:sz w:val="32"/>
          <w:szCs w:val="32"/>
        </w:rPr>
        <w:t>日</w:t>
      </w:r>
      <w:bookmarkStart w:id="0" w:name="_GoBack"/>
      <w:bookmarkEnd w:id="0"/>
    </w:p>
    <w:p>
      <w:pPr>
        <w:spacing w:line="500" w:lineRule="exact"/>
        <w:jc w:val="left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附件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</w:t>
      </w:r>
    </w:p>
    <w:p>
      <w:pPr>
        <w:spacing w:afterLines="50" w:line="540" w:lineRule="exact"/>
        <w:jc w:val="center"/>
        <w:rPr>
          <w:rFonts w:ascii="方正小标宋简体" w:hAnsi="华文中宋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建造工匠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eastAsia="zh-CN"/>
        </w:rPr>
        <w:t>技能展示选拔大赛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报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  <w:lang w:eastAsia="zh-CN"/>
        </w:rPr>
        <w:t>名</w:t>
      </w:r>
      <w:r>
        <w:rPr>
          <w:rFonts w:hint="eastAsia" w:ascii="方正小标宋简体" w:hAnsi="华文中宋" w:eastAsia="方正小标宋简体" w:cs="Times New Roman"/>
          <w:bCs/>
          <w:sz w:val="36"/>
          <w:szCs w:val="36"/>
        </w:rPr>
        <w:t>表</w:t>
      </w:r>
    </w:p>
    <w:tbl>
      <w:tblPr>
        <w:tblStyle w:val="20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96"/>
        <w:gridCol w:w="5"/>
        <w:gridCol w:w="1543"/>
        <w:gridCol w:w="1276"/>
        <w:gridCol w:w="2160"/>
        <w:gridCol w:w="119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0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1"/>
                <w:szCs w:val="21"/>
                <w:lang w:val="en-US" w:eastAsia="zh-CN"/>
              </w:rPr>
              <w:t>1吋免冠彩</w:t>
            </w:r>
            <w:r>
              <w:rPr>
                <w:rFonts w:hint="eastAsia" w:ascii="华文宋体" w:hAnsi="华文宋体" w:eastAsia="华文宋体" w:cs="华文宋体"/>
                <w:color w:val="000000"/>
                <w:sz w:val="21"/>
                <w:szCs w:val="21"/>
                <w:lang w:eastAsia="zh-CN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单位名称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单位资质（只填一项）</w:t>
            </w:r>
          </w:p>
        </w:tc>
        <w:tc>
          <w:tcPr>
            <w:tcW w:w="1195" w:type="dxa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1543" w:type="dxa"/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行业类别</w:t>
            </w:r>
          </w:p>
        </w:tc>
        <w:tc>
          <w:tcPr>
            <w:tcW w:w="758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t>建筑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t>市政园林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t>公路交通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t>轨道交通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t>水利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t>电力</w:t>
            </w:r>
            <w:r>
              <w:rPr>
                <w:rFonts w:hint="eastAsia" w:ascii="华文仿宋" w:hAnsi="华文仿宋" w:eastAsia="华文仿宋" w:cs="宋体"/>
                <w:kern w:val="0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岗位类别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通讯地址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8085" w:type="dxa"/>
            <w:gridSpan w:val="7"/>
            <w:vAlign w:val="center"/>
          </w:tcPr>
          <w:p>
            <w:pPr>
              <w:spacing w:line="400" w:lineRule="exact"/>
              <w:jc w:val="both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主要工作经历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（不超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150字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）</w:t>
            </w:r>
          </w:p>
        </w:tc>
        <w:tc>
          <w:tcPr>
            <w:tcW w:w="8085" w:type="dxa"/>
            <w:gridSpan w:val="7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工作单位意见</w:t>
            </w:r>
          </w:p>
        </w:tc>
        <w:tc>
          <w:tcPr>
            <w:tcW w:w="8085" w:type="dxa"/>
            <w:gridSpan w:val="7"/>
          </w:tcPr>
          <w:p>
            <w:pPr>
              <w:ind w:right="420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ind w:right="420" w:firstLine="4600" w:firstLineChars="23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（盖章）  </w:t>
            </w:r>
          </w:p>
          <w:p>
            <w:pPr>
              <w:ind w:firstLine="800" w:firstLineChars="4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推荐单位意见</w:t>
            </w:r>
          </w:p>
        </w:tc>
        <w:tc>
          <w:tcPr>
            <w:tcW w:w="8085" w:type="dxa"/>
            <w:gridSpan w:val="7"/>
          </w:tcPr>
          <w:p>
            <w:pPr>
              <w:wordWrap w:val="0"/>
              <w:ind w:right="420"/>
              <w:jc w:val="right"/>
              <w:rPr>
                <w:rFonts w:hint="eastAsia" w:ascii="宋体" w:hAnsi="宋体" w:eastAsia="宋体" w:cs="Times New Roman"/>
                <w:szCs w:val="21"/>
              </w:rPr>
            </w:pPr>
          </w:p>
          <w:p>
            <w:pPr>
              <w:wordWrap w:val="0"/>
              <w:ind w:right="420"/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推荐单位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（盖章）            </w:t>
            </w:r>
          </w:p>
          <w:p>
            <w:pPr>
              <w:ind w:firstLine="800" w:firstLineChars="4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年     月   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华文仿宋" w:hAnsi="华文仿宋" w:eastAsia="华文仿宋"/>
          <w:sz w:val="32"/>
          <w:szCs w:val="32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32" w:charSpace="0"/>
        </w:sectPr>
      </w:pPr>
    </w:p>
    <w:p>
      <w:pPr>
        <w:spacing w:line="500" w:lineRule="exact"/>
        <w:jc w:val="left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附件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方正小标宋简体" w:hAnsi="华文中宋" w:eastAsia="方正小标宋简体"/>
          <w:bCs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sz w:val="28"/>
          <w:szCs w:val="28"/>
        </w:rPr>
        <w:t>推荐建造工匠</w:t>
      </w:r>
      <w:r>
        <w:rPr>
          <w:rFonts w:hint="eastAsia" w:ascii="方正小标宋简体" w:hAnsi="华文中宋" w:eastAsia="方正小标宋简体"/>
          <w:bCs/>
          <w:sz w:val="28"/>
          <w:szCs w:val="28"/>
          <w:lang w:eastAsia="zh-CN"/>
        </w:rPr>
        <w:t>技能展示参赛报名</w:t>
      </w:r>
      <w:r>
        <w:rPr>
          <w:rFonts w:hint="eastAsia" w:ascii="方正小标宋简体" w:hAnsi="华文中宋" w:eastAsia="方正小标宋简体"/>
          <w:bCs/>
          <w:sz w:val="28"/>
          <w:szCs w:val="28"/>
        </w:rPr>
        <w:t>汇总表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（电子版用可编辑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excel表格式</w:t>
      </w: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）</w:t>
      </w:r>
    </w:p>
    <w:p>
      <w:pPr>
        <w:spacing w:afterLines="50" w:line="540" w:lineRule="exact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推荐单位：（盖章）</w:t>
      </w:r>
    </w:p>
    <w:tbl>
      <w:tblPr>
        <w:tblStyle w:val="2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896"/>
        <w:gridCol w:w="722"/>
        <w:gridCol w:w="850"/>
        <w:gridCol w:w="1313"/>
        <w:gridCol w:w="1112"/>
        <w:gridCol w:w="1288"/>
        <w:gridCol w:w="700"/>
        <w:gridCol w:w="1062"/>
        <w:gridCol w:w="1138"/>
        <w:gridCol w:w="2237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sz w:val="21"/>
                <w:szCs w:val="21"/>
                <w:lang w:eastAsia="zh-CN"/>
              </w:rPr>
              <w:t>电子扫描彩照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</w:rPr>
              <w:t>姓别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  <w:lang w:val="en-US" w:eastAsia="zh-CN"/>
              </w:rPr>
              <w:t>职务/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06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华文宋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</w:rPr>
              <w:t>行业</w:t>
            </w: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1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  <w:lang w:eastAsia="zh-CN"/>
              </w:rPr>
              <w:t>岗位类别</w:t>
            </w: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2"/>
                <w:sz w:val="21"/>
                <w:szCs w:val="21"/>
                <w:lang w:val="en-US" w:eastAsia="zh-CN" w:bidi="ar-SA"/>
              </w:rPr>
              <w:t>简历（不超150字）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华文宋体" w:hAnsi="华文宋体" w:eastAsia="华文宋体" w:cs="华文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2"/>
                <w:sz w:val="21"/>
                <w:szCs w:val="21"/>
                <w:lang w:val="en-US" w:eastAsia="zh-CN" w:bidi="ar-SA"/>
              </w:rPr>
              <w:t>（仅电子表填写此栏）</w:t>
            </w: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黑体" w:hAnsi="黑体" w:eastAsia="黑体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宋体" w:hAnsi="华文宋体" w:eastAsia="华文宋体" w:cs="华文宋体"/>
                <w:color w:val="000000"/>
                <w:kern w:val="0"/>
                <w:sz w:val="21"/>
                <w:szCs w:val="21"/>
                <w:lang w:eastAsia="zh-CN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9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textAlignment w:val="auto"/>
        <w:rPr>
          <w:rFonts w:hint="eastAsia" w:ascii="华文仿宋" w:hAnsi="华文仿宋" w:eastAsia="华文仿宋" w:cs="宋体"/>
          <w:kern w:val="0"/>
          <w:sz w:val="24"/>
          <w:szCs w:val="24"/>
        </w:rPr>
      </w:pPr>
      <w:r>
        <w:rPr>
          <w:rFonts w:hint="eastAsia" w:ascii="华文仿宋" w:hAnsi="华文仿宋" w:eastAsia="华文仿宋" w:cs="宋体"/>
          <w:kern w:val="0"/>
          <w:sz w:val="24"/>
          <w:szCs w:val="24"/>
          <w:lang w:val="en-US" w:eastAsia="zh-CN"/>
        </w:rPr>
        <w:t>1、行业类别：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>房屋建筑</w:t>
      </w:r>
      <w:r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>市政园林</w:t>
      </w:r>
      <w:r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>公路交通</w:t>
      </w:r>
      <w:r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>轨道交通</w:t>
      </w:r>
      <w:r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>水利</w:t>
      </w:r>
      <w:r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t>、</w:t>
      </w:r>
      <w:r>
        <w:rPr>
          <w:rFonts w:hint="eastAsia" w:ascii="华文仿宋" w:hAnsi="华文仿宋" w:eastAsia="华文仿宋" w:cs="宋体"/>
          <w:kern w:val="0"/>
          <w:sz w:val="24"/>
          <w:szCs w:val="24"/>
        </w:rPr>
        <w:t>电力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t>仅电子版汇总表提供扫描照片，纸质材料无需提供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both"/>
        <w:textAlignment w:val="auto"/>
        <w:rPr>
          <w:rFonts w:hint="eastAsia" w:ascii="华文仿宋" w:hAnsi="华文仿宋" w:eastAsia="华文仿宋" w:cs="宋体"/>
          <w:kern w:val="0"/>
          <w:sz w:val="24"/>
          <w:szCs w:val="24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32" w:charSpace="0"/>
        </w:sectPr>
      </w:pPr>
    </w:p>
    <w:p>
      <w:pPr>
        <w:spacing w:line="720" w:lineRule="exact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pacing w:line="720" w:lineRule="exac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附： 建筑业“燕赵杯（建设）”建造工匠技能展示演讲大赛管理办法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建筑业“燕赵杯（建设）”建造工匠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技能展示演讲大赛管理办法</w:t>
      </w:r>
    </w:p>
    <w:p>
      <w:pPr>
        <w:spacing w:line="720" w:lineRule="exact"/>
        <w:jc w:val="center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试行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  则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kern w:val="2"/>
          <w:sz w:val="32"/>
          <w:szCs w:val="32"/>
        </w:rPr>
        <w:t>为深入贯彻落实《河北省国民经济和社会发展第十四个五年规划和二○三五年远景目标纲要》，实施知识更新工程、技能提升行动，壮大高水平工程师和高技能人才队伍，实施科技强省、人才强省和创新驱动发展战略，加强创新型、应用型、技能型人才培养，</w:t>
      </w:r>
      <w:r>
        <w:rPr>
          <w:rFonts w:hint="eastAsia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工匠技术展示</w:t>
      </w:r>
      <w:r>
        <w:rPr>
          <w:rFonts w:hint="eastAsia" w:ascii="仿宋" w:hAnsi="仿宋" w:eastAsia="仿宋" w:cs="仿宋"/>
          <w:sz w:val="32"/>
          <w:szCs w:val="32"/>
        </w:rPr>
        <w:t>大赛（以下简称“大赛”）的组织、评审、表彰和推广等管理工作，制定本办法。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本办法所称的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“工匠”是一种职业精神，是职业道德、职业能力、职业品质的体现，包括敬业、精益、专注、创新等方面的内容。建造工匠技能是指技术人员充分发扬工匠精神在</w:t>
      </w:r>
      <w:r>
        <w:rPr>
          <w:rFonts w:hint="eastAsia" w:ascii="仿宋" w:hAnsi="仿宋" w:eastAsia="仿宋" w:cs="仿宋"/>
          <w:sz w:val="32"/>
          <w:szCs w:val="32"/>
        </w:rPr>
        <w:t>工程实践中形成的能够有效提高工效、降低成本、保障安全、提升质量、节能降碳的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发明、创造、革新、设计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成果，包括工法、工艺、材料、工具、器具、设备、设施、软件等。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大赛以“推动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建筑业</w:t>
      </w:r>
      <w:r>
        <w:rPr>
          <w:rFonts w:hint="eastAsia" w:ascii="仿宋" w:hAnsi="仿宋" w:eastAsia="仿宋" w:cs="仿宋"/>
          <w:sz w:val="32"/>
          <w:szCs w:val="32"/>
        </w:rPr>
        <w:t>一线科技创新，营造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工匠精神</w:t>
      </w:r>
      <w:r>
        <w:rPr>
          <w:rFonts w:hint="eastAsia" w:ascii="仿宋" w:hAnsi="仿宋" w:eastAsia="仿宋" w:cs="仿宋"/>
          <w:sz w:val="32"/>
          <w:szCs w:val="32"/>
        </w:rPr>
        <w:t>创新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氛围</w:t>
      </w:r>
      <w:r>
        <w:rPr>
          <w:rFonts w:hint="eastAsia" w:ascii="仿宋" w:hAnsi="仿宋" w:eastAsia="仿宋" w:cs="仿宋"/>
          <w:sz w:val="32"/>
          <w:szCs w:val="32"/>
        </w:rPr>
        <w:t>，促进科技与经济紧密结合”为宗旨，坚持公益办赛。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大赛坚持“公平、公开、公正”和“优中选优”的评审原则。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大赛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分管理组和工人组，</w:t>
      </w:r>
      <w:r>
        <w:rPr>
          <w:rFonts w:hint="eastAsia" w:ascii="仿宋" w:hAnsi="仿宋" w:eastAsia="仿宋" w:cs="仿宋"/>
          <w:sz w:val="32"/>
          <w:szCs w:val="32"/>
        </w:rPr>
        <w:t>每年举办一次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协会（简称省建协）</w:t>
      </w:r>
      <w:r>
        <w:rPr>
          <w:rFonts w:hint="eastAsia" w:ascii="仿宋" w:hAnsi="仿宋" w:eastAsia="仿宋" w:cs="仿宋"/>
          <w:sz w:val="32"/>
          <w:szCs w:val="32"/>
        </w:rPr>
        <w:t>负责大赛的组织管理工作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省建协总工程师委员会（简称总工委）具体负责评审工作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参赛条件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参赛人应具备以下条件：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（一）具有工艺专长：在实施工艺、技术等方面拥有一技之长或绝技高招，具有丰富的实践经验和理论知识，取得较好经济效益和社会效益。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（二）体现专业带头作用：善于解决疑难问题、攻坚克难，运用个人技能、技艺带领团队解决实际问题并成绩突出。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选手依托</w:t>
      </w:r>
      <w:r>
        <w:rPr>
          <w:rFonts w:hint="eastAsia" w:ascii="仿宋" w:hAnsi="仿宋" w:eastAsia="仿宋" w:cs="仿宋"/>
          <w:sz w:val="32"/>
          <w:szCs w:val="32"/>
        </w:rPr>
        <w:t>项目应符合以下条件：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（一）创新性强，符合国家和行业倡导的技术创新方向；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（二）实用性突出，具有较高的推广应用价值；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参赛技术</w:t>
      </w:r>
      <w:r>
        <w:rPr>
          <w:rFonts w:hint="eastAsia" w:ascii="仿宋" w:hAnsi="仿宋" w:eastAsia="仿宋" w:cs="仿宋"/>
          <w:sz w:val="32"/>
          <w:szCs w:val="32"/>
        </w:rPr>
        <w:t>应来源于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建筑业</w:t>
      </w:r>
      <w:r>
        <w:rPr>
          <w:rFonts w:hint="eastAsia" w:ascii="仿宋" w:hAnsi="仿宋" w:eastAsia="仿宋" w:cs="仿宋"/>
          <w:sz w:val="32"/>
          <w:szCs w:val="32"/>
        </w:rPr>
        <w:t>一线，取得了良好的经济或社会效益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sz w:val="32"/>
          <w:szCs w:val="32"/>
        </w:rPr>
        <w:t>应来自于企业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建筑业</w:t>
      </w:r>
      <w:r>
        <w:rPr>
          <w:rFonts w:hint="eastAsia" w:ascii="仿宋" w:hAnsi="仿宋" w:eastAsia="仿宋" w:cs="仿宋"/>
          <w:sz w:val="32"/>
          <w:szCs w:val="32"/>
        </w:rPr>
        <w:t>一线人员，且具备较强的实践和科技创新能力。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大赛报名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大赛采取推荐制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下列单位具有推荐资格：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（一）各市（区）建筑业协会；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（二）央企及特级施工资质的企业。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选手应填报参赛申报表，并附相关业绩证明材料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大赛评审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总工委</w:t>
      </w:r>
      <w:r>
        <w:rPr>
          <w:rFonts w:hint="eastAsia" w:ascii="仿宋" w:hAnsi="仿宋" w:eastAsia="仿宋" w:cs="仿宋"/>
          <w:sz w:val="32"/>
          <w:szCs w:val="32"/>
        </w:rPr>
        <w:t>邀请有关行业领导和知名专家组成大赛评审委员会。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大赛奖设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等奖原则上不超过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申报总数的20%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等奖原则上不超过申报总数的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等奖原则上不超过申报总数的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%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大赛</w:t>
      </w:r>
      <w:r>
        <w:rPr>
          <w:rFonts w:hint="eastAsia" w:ascii="仿宋" w:hAnsi="仿宋" w:eastAsia="仿宋" w:cs="仿宋"/>
          <w:sz w:val="32"/>
          <w:szCs w:val="32"/>
        </w:rPr>
        <w:t>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（一）资格审查。组织专家对参赛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sz w:val="32"/>
          <w:szCs w:val="32"/>
        </w:rPr>
        <w:t>的申报材料进行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</w:t>
      </w:r>
      <w:r>
        <w:rPr>
          <w:rFonts w:hint="eastAsia" w:ascii="仿宋" w:hAnsi="仿宋" w:eastAsia="仿宋" w:cs="仿宋"/>
          <w:sz w:val="32"/>
          <w:szCs w:val="32"/>
        </w:rPr>
        <w:t>审查。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sz w:val="32"/>
          <w:szCs w:val="32"/>
        </w:rPr>
        <w:t>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评委会</w:t>
      </w:r>
      <w:r>
        <w:rPr>
          <w:rFonts w:hint="eastAsia" w:ascii="仿宋" w:hAnsi="仿宋" w:eastAsia="仿宋" w:cs="仿宋"/>
          <w:sz w:val="32"/>
          <w:szCs w:val="32"/>
        </w:rPr>
        <w:t>组成若干专业评审组，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按专业分组进行演讲赛</w:t>
      </w:r>
      <w:r>
        <w:rPr>
          <w:rFonts w:hint="eastAsia" w:ascii="仿宋" w:hAnsi="仿宋" w:eastAsia="仿宋" w:cs="仿宋"/>
          <w:sz w:val="32"/>
          <w:szCs w:val="32"/>
        </w:rPr>
        <w:t>，择优确定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sz w:val="32"/>
          <w:szCs w:val="32"/>
        </w:rPr>
        <w:t>名单。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评审标准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大赛获奖名单将在协会网站上向社会公示，公示期为5个工作日。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授奖与纪律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获奖选手</w:t>
      </w:r>
      <w:r>
        <w:rPr>
          <w:rFonts w:hint="eastAsia" w:ascii="仿宋" w:hAnsi="仿宋" w:eastAsia="仿宋" w:cs="仿宋"/>
          <w:sz w:val="32"/>
          <w:szCs w:val="32"/>
        </w:rPr>
        <w:t>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省建筑业协会</w:t>
      </w:r>
      <w:r>
        <w:rPr>
          <w:rFonts w:hint="eastAsia" w:ascii="仿宋" w:hAnsi="仿宋" w:eastAsia="仿宋" w:cs="仿宋"/>
          <w:sz w:val="32"/>
          <w:szCs w:val="32"/>
        </w:rPr>
        <w:t>印发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表彰</w:t>
      </w:r>
      <w:r>
        <w:rPr>
          <w:rFonts w:hint="eastAsia" w:ascii="仿宋" w:hAnsi="仿宋" w:eastAsia="仿宋" w:cs="仿宋"/>
          <w:sz w:val="32"/>
          <w:szCs w:val="32"/>
        </w:rPr>
        <w:t>文件，在协会官网公布获奖名单，向获奖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sz w:val="32"/>
          <w:szCs w:val="32"/>
        </w:rPr>
        <w:t>颁发证书。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鼓励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获奖选手所在</w:t>
      </w:r>
      <w:r>
        <w:rPr>
          <w:rFonts w:hint="eastAsia" w:ascii="仿宋" w:hAnsi="仿宋" w:eastAsia="仿宋" w:cs="仿宋"/>
          <w:sz w:val="32"/>
          <w:szCs w:val="32"/>
        </w:rPr>
        <w:t>单位对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获奖</w:t>
      </w:r>
      <w:r>
        <w:rPr>
          <w:rFonts w:hint="eastAsia" w:ascii="仿宋" w:hAnsi="仿宋" w:eastAsia="仿宋" w:cs="仿宋"/>
          <w:sz w:val="32"/>
          <w:szCs w:val="32"/>
        </w:rPr>
        <w:t>人给予一定奖励。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省建协对</w:t>
      </w:r>
      <w:r>
        <w:rPr>
          <w:rFonts w:hint="eastAsia" w:ascii="仿宋" w:hAnsi="仿宋" w:eastAsia="仿宋" w:cs="仿宋"/>
          <w:sz w:val="32"/>
          <w:szCs w:val="32"/>
        </w:rPr>
        <w:t>获奖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选手发明的技术进行宣传，推动在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建筑业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推广</w:t>
      </w:r>
      <w:r>
        <w:rPr>
          <w:rFonts w:hint="eastAsia" w:ascii="仿宋" w:hAnsi="仿宋" w:eastAsia="仿宋" w:cs="仿宋"/>
          <w:sz w:val="32"/>
          <w:szCs w:val="32"/>
        </w:rPr>
        <w:t>应用。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省建协</w:t>
      </w:r>
      <w:r>
        <w:rPr>
          <w:rFonts w:hint="eastAsia" w:ascii="仿宋" w:hAnsi="仿宋" w:eastAsia="仿宋" w:cs="仿宋"/>
          <w:sz w:val="32"/>
          <w:szCs w:val="32"/>
        </w:rPr>
        <w:t>建立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</w:t>
      </w:r>
      <w:r>
        <w:rPr>
          <w:rFonts w:hint="eastAsia" w:ascii="仿宋" w:hAnsi="仿宋" w:eastAsia="仿宋" w:cs="仿宋"/>
          <w:sz w:val="32"/>
          <w:szCs w:val="32"/>
        </w:rPr>
        <w:t>诚信档案，获奖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</w:t>
      </w:r>
      <w:r>
        <w:rPr>
          <w:rFonts w:hint="eastAsia" w:ascii="仿宋" w:hAnsi="仿宋" w:eastAsia="仿宋" w:cs="仿宋"/>
          <w:sz w:val="32"/>
          <w:szCs w:val="32"/>
        </w:rPr>
        <w:t>如有剽窃、弄虚作假等问题，经查实后予以撤销奖励，并在档案中记录失信行为。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章 附  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协会总工程师委员会</w:t>
      </w:r>
      <w:r>
        <w:rPr>
          <w:rFonts w:hint="eastAsia" w:ascii="仿宋" w:hAnsi="仿宋" w:eastAsia="仿宋" w:cs="仿宋"/>
          <w:sz w:val="32"/>
          <w:szCs w:val="32"/>
        </w:rPr>
        <w:t>负责解释。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本办法自印发之日起施行。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tbl>
      <w:tblPr>
        <w:tblStyle w:val="2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5370"/>
        <w:gridCol w:w="655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lang w:val="en-US" w:eastAsia="zh-CN" w:bidi="ar"/>
              </w:rPr>
              <w:t>附表1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 w:bidi="ar"/>
              </w:rPr>
              <w:t>建筑业“燕赵杯（建设）”建造工匠技能展示演讲大赛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评审专家评分表(管理组)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技术名称</w:t>
            </w:r>
          </w:p>
        </w:tc>
        <w:tc>
          <w:tcPr>
            <w:tcW w:w="41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满分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实得分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897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个人展示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Style w:val="60"/>
                <w:rFonts w:hint="default"/>
                <w:lang w:bidi="ar"/>
              </w:rPr>
              <w:t>（分两个档次）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经验分享有独到的见解，对管理工作有借鉴作用  8-10分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提出自己的管理见解，在施工管理中应用效果较好  5-8分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技术汇报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Style w:val="60"/>
                <w:rFonts w:hint="default"/>
                <w:lang w:bidi="ar"/>
              </w:rPr>
              <w:t>（分三个方面打分，每个方面两个档次）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创新方案优选分析过程清楚、明确12-15分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创新方案优选分析过程较清楚、明确7-12分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15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rPr>
          <w:trHeight w:val="978" w:hRule="atLeast"/>
          <w:jc w:val="center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创新组织实施过程控制良好   12-15分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创新组织实施过程控制较好   7-12分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15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技术管理创新成果与经济与社会效益良好，后评价客观、真实、全面 15-20分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 xml:space="preserve">技术管理创新成果与经济社会效益较好，后评价较客观、真实10-15分  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20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答辩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Style w:val="60"/>
                <w:rFonts w:hint="default"/>
                <w:lang w:bidi="ar"/>
              </w:rPr>
              <w:t>（分两个档次）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回答问题紧扣主题、应变力强，对问题的分析、应对、解决思路清晰、准确 15-20分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回答问题紧扣主题，思路较清晰、回答较准确 10-15分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综合表现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Style w:val="60"/>
                <w:rFonts w:hint="default"/>
                <w:lang w:bidi="ar"/>
              </w:rPr>
              <w:t>（分两个方面打分，每个方面两个档次）</w:t>
            </w: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创新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成熟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度：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新颖性高8-10分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管理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新颖性较高5-7分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31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吐字清晰、表达流畅，仪表端庄，现场感染力强，时间把握8-10分；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有较好的语言表达能力和现场感染力  5-7分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10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bidi="ar"/>
              </w:rPr>
              <w:t>评分人：</w:t>
            </w:r>
          </w:p>
        </w:tc>
      </w:tr>
    </w:tbl>
    <w:p>
      <w:pPr>
        <w:tabs>
          <w:tab w:val="left" w:pos="1890"/>
        </w:tabs>
        <w:adjustRightInd w:val="0"/>
        <w:snapToGrid w:val="0"/>
        <w:spacing w:line="240" w:lineRule="atLeast"/>
        <w:rPr>
          <w:rFonts w:ascii="华文仿宋" w:hAnsi="华文仿宋" w:eastAsia="华文仿宋"/>
          <w:sz w:val="24"/>
          <w:szCs w:val="24"/>
        </w:rPr>
      </w:pPr>
    </w:p>
    <w:p>
      <w:pPr>
        <w:tabs>
          <w:tab w:val="left" w:pos="1890"/>
        </w:tabs>
        <w:adjustRightInd w:val="0"/>
        <w:snapToGrid w:val="0"/>
        <w:spacing w:line="240" w:lineRule="atLeast"/>
        <w:rPr>
          <w:rFonts w:ascii="华文仿宋" w:hAnsi="华文仿宋" w:eastAsia="华文仿宋"/>
          <w:sz w:val="24"/>
          <w:szCs w:val="24"/>
        </w:rPr>
      </w:pPr>
    </w:p>
    <w:p>
      <w:pPr>
        <w:tabs>
          <w:tab w:val="left" w:pos="1890"/>
        </w:tabs>
        <w:adjustRightInd w:val="0"/>
        <w:snapToGrid w:val="0"/>
        <w:spacing w:line="240" w:lineRule="atLeast"/>
        <w:rPr>
          <w:rFonts w:ascii="华文仿宋" w:hAnsi="华文仿宋" w:eastAsia="华文仿宋"/>
          <w:sz w:val="24"/>
          <w:szCs w:val="24"/>
        </w:rPr>
        <w:sectPr>
          <w:footerReference r:id="rId6" w:type="default"/>
          <w:pgSz w:w="11906" w:h="16838"/>
          <w:pgMar w:top="1440" w:right="1803" w:bottom="1440" w:left="1803" w:header="851" w:footer="992" w:gutter="0"/>
          <w:pgNumType w:start="1"/>
          <w:cols w:space="0" w:num="1"/>
          <w:docGrid w:type="lines" w:linePitch="332" w:charSpace="0"/>
        </w:sectPr>
      </w:pPr>
    </w:p>
    <w:tbl>
      <w:tblPr>
        <w:tblStyle w:val="20"/>
        <w:tblW w:w="499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5338"/>
        <w:gridCol w:w="617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000000"/>
                <w:sz w:val="28"/>
                <w:szCs w:val="28"/>
                <w:lang w:val="en-US" w:eastAsia="zh-CN" w:bidi="ar"/>
              </w:rPr>
              <w:t>附表2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 w:bidi="ar"/>
              </w:rPr>
              <w:t>建筑业“燕赵杯（建设）”建造工匠技能展示演讲大赛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评审专家评分表</w:t>
            </w: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 w:bidi="ar"/>
              </w:rPr>
              <w:t>(工人组)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技术名称</w:t>
            </w:r>
          </w:p>
        </w:tc>
        <w:tc>
          <w:tcPr>
            <w:tcW w:w="42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评分项目</w:t>
            </w: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评分标准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满分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  <w:t>实得分</w:t>
            </w:r>
          </w:p>
        </w:tc>
      </w:tr>
      <w:tr>
        <w:trPr>
          <w:trHeight w:val="560" w:hRule="atLeast"/>
          <w:jc w:val="center"/>
        </w:trPr>
        <w:tc>
          <w:tcPr>
            <w:tcW w:w="773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个人展示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Style w:val="60"/>
                <w:rFonts w:hint="default"/>
                <w:lang w:bidi="ar"/>
              </w:rPr>
              <w:t>（分两个档次）</w:t>
            </w: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经验分享有独到的见解，对其它岗位工作有借鉴作用  8-10分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提出自己的技术见解，在施工中应用效果较好  5-8分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  <w:lang w:bidi="ar"/>
              </w:rPr>
            </w:pPr>
          </w:p>
        </w:tc>
      </w:tr>
      <w:tr>
        <w:trPr>
          <w:trHeight w:val="1157" w:hRule="atLeast"/>
          <w:jc w:val="center"/>
        </w:trPr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技术汇报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Style w:val="60"/>
                <w:rFonts w:hint="default"/>
                <w:lang w:bidi="ar"/>
              </w:rPr>
              <w:t>（分三个方面打分，每个方面两个档次）</w:t>
            </w: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方案优选分析过程清楚、明确12-15分；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方案优选分析过程较清楚、明确7-12分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15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rPr>
          <w:trHeight w:val="978" w:hRule="atLeast"/>
          <w:jc w:val="center"/>
        </w:trPr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实施过程控制良好   12-15分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实施过程控制较好   7-12分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15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成果与经济社会效益良好，后评价客观、真实、全面 15-20分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 xml:space="preserve">成果与经济社会效益较好，后评价较客观、真实10-15分  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20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  <w:lang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答辩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Style w:val="60"/>
                <w:rFonts w:hint="default"/>
                <w:lang w:bidi="ar"/>
              </w:rPr>
              <w:t>（分两个档次）</w:t>
            </w: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回答问题紧扣主题、应变力强，对问题的分析、应对、解决思路清晰、准确  15-20分；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回答问题紧扣主题，思路较清晰、回答较准确  10-15分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20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7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2"/>
                <w:szCs w:val="22"/>
                <w:lang w:bidi="ar"/>
              </w:rPr>
              <w:t>综合表现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  <w:r>
              <w:rPr>
                <w:rStyle w:val="60"/>
                <w:rFonts w:hint="default"/>
                <w:lang w:bidi="ar"/>
              </w:rPr>
              <w:t>（分两个方面打分，每个方面两个档次）</w:t>
            </w: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创新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成熟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度：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新颖性高8-10分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eastAsia="zh-CN" w:bidi="ar"/>
              </w:rPr>
              <w:t>工艺</w:t>
            </w: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新颖性较高5-7分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rPr>
                <w:rFonts w:ascii="宋体" w:hAnsi="宋体" w:eastAsia="宋体"/>
                <w:b/>
                <w:bCs/>
                <w:color w:val="000000"/>
                <w:sz w:val="22"/>
              </w:rPr>
            </w:pPr>
          </w:p>
        </w:tc>
        <w:tc>
          <w:tcPr>
            <w:tcW w:w="3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吐字清晰、表达流畅，仪表端庄，现场感染力强，时间把握8-10分；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有较好的语言表达能力和现场感染力  5-7分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bidi="ar"/>
              </w:rPr>
              <w:t>10</w:t>
            </w:r>
            <w:r>
              <w:rPr>
                <w:rStyle w:val="60"/>
                <w:rFonts w:hint="default"/>
                <w:lang w:bidi="ar"/>
              </w:rPr>
              <w:t xml:space="preserve"> 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tLeas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bidi="ar"/>
              </w:rPr>
              <w:t>评分人：</w:t>
            </w:r>
          </w:p>
        </w:tc>
      </w:tr>
    </w:tbl>
    <w:p/>
    <w:sectPr>
      <w:footerReference r:id="rId7" w:type="default"/>
      <w:pgSz w:w="11906" w:h="16838"/>
      <w:pgMar w:top="1440" w:right="1803" w:bottom="1440" w:left="1803" w:header="851" w:footer="992" w:gutter="0"/>
      <w:pgNumType w:start="0"/>
      <w:cols w:space="0" w:num="1"/>
      <w:titlePg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2110"/>
    </w:sdtPr>
    <w:sdtContent>
      <w:p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1D42E"/>
    <w:multiLevelType w:val="singleLevel"/>
    <w:tmpl w:val="D311D4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9C56CDD"/>
    <w:multiLevelType w:val="multilevel"/>
    <w:tmpl w:val="09C56CDD"/>
    <w:lvl w:ilvl="0" w:tentative="0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1780" w:hanging="720"/>
      </w:pPr>
      <w:rPr>
        <w:rFonts w:hint="default" w:asciiTheme="minorEastAsia" w:hAnsiTheme="minorEastAsia" w:eastAsiaTheme="minorEastAsia"/>
        <w:b/>
        <w:sz w:val="32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2I0OTRhYjRmMzgzYmNkYmJiZWI3OTk2OWM1NWIifQ=="/>
  </w:docVars>
  <w:rsids>
    <w:rsidRoot w:val="00B7024D"/>
    <w:rsid w:val="000C29CA"/>
    <w:rsid w:val="00193BE3"/>
    <w:rsid w:val="002552F6"/>
    <w:rsid w:val="002625E8"/>
    <w:rsid w:val="004C4EC4"/>
    <w:rsid w:val="005136A9"/>
    <w:rsid w:val="00541212"/>
    <w:rsid w:val="005D710E"/>
    <w:rsid w:val="005E128B"/>
    <w:rsid w:val="006F6B35"/>
    <w:rsid w:val="0077669E"/>
    <w:rsid w:val="00877939"/>
    <w:rsid w:val="00891C46"/>
    <w:rsid w:val="008D70DD"/>
    <w:rsid w:val="009105F6"/>
    <w:rsid w:val="00941838"/>
    <w:rsid w:val="009D75A2"/>
    <w:rsid w:val="009F1BD2"/>
    <w:rsid w:val="00A7792F"/>
    <w:rsid w:val="00A95583"/>
    <w:rsid w:val="00AA5921"/>
    <w:rsid w:val="00B56ED7"/>
    <w:rsid w:val="00B7024D"/>
    <w:rsid w:val="00B80616"/>
    <w:rsid w:val="00C21809"/>
    <w:rsid w:val="00C344EF"/>
    <w:rsid w:val="00CD00D7"/>
    <w:rsid w:val="00D202B0"/>
    <w:rsid w:val="00DF1018"/>
    <w:rsid w:val="00E0514C"/>
    <w:rsid w:val="00E57647"/>
    <w:rsid w:val="00F9539B"/>
    <w:rsid w:val="027B7191"/>
    <w:rsid w:val="08CB0CA3"/>
    <w:rsid w:val="095B1798"/>
    <w:rsid w:val="0ABF2FC3"/>
    <w:rsid w:val="0E4806A0"/>
    <w:rsid w:val="12FD6001"/>
    <w:rsid w:val="152427BE"/>
    <w:rsid w:val="16442873"/>
    <w:rsid w:val="17AD0644"/>
    <w:rsid w:val="17FB011E"/>
    <w:rsid w:val="18784ACB"/>
    <w:rsid w:val="1B0C01DE"/>
    <w:rsid w:val="1E2E78B2"/>
    <w:rsid w:val="1F060517"/>
    <w:rsid w:val="1FB75A3E"/>
    <w:rsid w:val="22914FA9"/>
    <w:rsid w:val="24D2578E"/>
    <w:rsid w:val="277D2651"/>
    <w:rsid w:val="29192A19"/>
    <w:rsid w:val="33471D4C"/>
    <w:rsid w:val="3696413A"/>
    <w:rsid w:val="381F1BC2"/>
    <w:rsid w:val="3AAB598F"/>
    <w:rsid w:val="3BC55992"/>
    <w:rsid w:val="3D4C6791"/>
    <w:rsid w:val="3F816E33"/>
    <w:rsid w:val="407701B1"/>
    <w:rsid w:val="41FD11D0"/>
    <w:rsid w:val="43B14016"/>
    <w:rsid w:val="458A2D71"/>
    <w:rsid w:val="4A0B4362"/>
    <w:rsid w:val="4AB42F01"/>
    <w:rsid w:val="4B991F60"/>
    <w:rsid w:val="507559EC"/>
    <w:rsid w:val="534D7554"/>
    <w:rsid w:val="54EA2B10"/>
    <w:rsid w:val="55880863"/>
    <w:rsid w:val="559C421F"/>
    <w:rsid w:val="5726041F"/>
    <w:rsid w:val="57F56F74"/>
    <w:rsid w:val="5AFF463D"/>
    <w:rsid w:val="5B3A26EB"/>
    <w:rsid w:val="5BD8549A"/>
    <w:rsid w:val="5D236423"/>
    <w:rsid w:val="6375118D"/>
    <w:rsid w:val="6653202A"/>
    <w:rsid w:val="66742F55"/>
    <w:rsid w:val="69197DE4"/>
    <w:rsid w:val="6AC975E8"/>
    <w:rsid w:val="6B2475B1"/>
    <w:rsid w:val="6CFD1AF1"/>
    <w:rsid w:val="6DE07122"/>
    <w:rsid w:val="6E24129F"/>
    <w:rsid w:val="6E5053E0"/>
    <w:rsid w:val="6F372F84"/>
    <w:rsid w:val="6F795A80"/>
    <w:rsid w:val="70271038"/>
    <w:rsid w:val="736A3DA3"/>
    <w:rsid w:val="74E7698D"/>
    <w:rsid w:val="75C94940"/>
    <w:rsid w:val="765C60B1"/>
    <w:rsid w:val="77D777E8"/>
    <w:rsid w:val="797735E6"/>
    <w:rsid w:val="7C772D27"/>
    <w:rsid w:val="7EE720FF"/>
    <w:rsid w:val="7F9659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  <w:jc w:val="both"/>
    </w:pPr>
    <w:rPr>
      <w:rFonts w:ascii="等线" w:hAnsi="等线" w:eastAsia="等线" w:cs="宋体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4">
    <w:name w:val="heading 2"/>
    <w:basedOn w:val="1"/>
    <w:next w:val="1"/>
    <w:link w:val="31"/>
    <w:unhideWhenUsed/>
    <w:qFormat/>
    <w:uiPriority w:val="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5">
    <w:name w:val="heading 3"/>
    <w:basedOn w:val="1"/>
    <w:next w:val="1"/>
    <w:link w:val="32"/>
    <w:unhideWhenUsed/>
    <w:qFormat/>
    <w:uiPriority w:val="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6">
    <w:name w:val="heading 4"/>
    <w:basedOn w:val="1"/>
    <w:next w:val="1"/>
    <w:link w:val="33"/>
    <w:unhideWhenUsed/>
    <w:qFormat/>
    <w:uiPriority w:val="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7">
    <w:name w:val="heading 5"/>
    <w:basedOn w:val="1"/>
    <w:next w:val="1"/>
    <w:link w:val="34"/>
    <w:unhideWhenUsed/>
    <w:qFormat/>
    <w:uiPriority w:val="9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8">
    <w:name w:val="heading 6"/>
    <w:basedOn w:val="1"/>
    <w:next w:val="1"/>
    <w:link w:val="35"/>
    <w:unhideWhenUsed/>
    <w:qFormat/>
    <w:uiPriority w:val="9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9">
    <w:name w:val="heading 7"/>
    <w:basedOn w:val="1"/>
    <w:next w:val="1"/>
    <w:link w:val="36"/>
    <w:qFormat/>
    <w:uiPriority w:val="9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10">
    <w:name w:val="heading 8"/>
    <w:basedOn w:val="1"/>
    <w:next w:val="1"/>
    <w:link w:val="37"/>
    <w:qFormat/>
    <w:uiPriority w:val="9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11">
    <w:name w:val="heading 9"/>
    <w:basedOn w:val="1"/>
    <w:next w:val="1"/>
    <w:link w:val="38"/>
    <w:qFormat/>
    <w:uiPriority w:val="9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2">
    <w:name w:val="caption"/>
    <w:basedOn w:val="1"/>
    <w:next w:val="1"/>
    <w:qFormat/>
    <w:uiPriority w:val="35"/>
    <w:rPr>
      <w:b/>
      <w:bCs/>
      <w:caps/>
      <w:sz w:val="16"/>
      <w:szCs w:val="16"/>
    </w:rPr>
  </w:style>
  <w:style w:type="paragraph" w:styleId="13">
    <w:name w:val="Date"/>
    <w:basedOn w:val="1"/>
    <w:next w:val="1"/>
    <w:link w:val="56"/>
    <w:qFormat/>
    <w:uiPriority w:val="99"/>
    <w:pPr>
      <w:ind w:left="100" w:leftChars="2500"/>
    </w:pPr>
  </w:style>
  <w:style w:type="paragraph" w:styleId="14">
    <w:name w:val="Balloon Text"/>
    <w:basedOn w:val="1"/>
    <w:link w:val="54"/>
    <w:qFormat/>
    <w:uiPriority w:val="99"/>
    <w:pPr>
      <w:spacing w:after="0" w:line="240" w:lineRule="auto"/>
    </w:pPr>
    <w:rPr>
      <w:sz w:val="18"/>
      <w:szCs w:val="18"/>
    </w:rPr>
  </w:style>
  <w:style w:type="paragraph" w:styleId="15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0"/>
    <w:qFormat/>
    <w:uiPriority w:val="11"/>
    <w:pPr>
      <w:spacing w:after="720" w:line="240" w:lineRule="auto"/>
      <w:jc w:val="right"/>
    </w:pPr>
    <w:rPr>
      <w:rFonts w:ascii="等线 Light" w:hAnsi="等线 Light" w:eastAsia="等线 Light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9">
    <w:name w:val="Title"/>
    <w:basedOn w:val="1"/>
    <w:next w:val="1"/>
    <w:link w:val="39"/>
    <w:qFormat/>
    <w:uiPriority w:val="10"/>
    <w:pPr>
      <w:pBdr>
        <w:top w:val="single" w:color="70AD47" w:sz="8" w:space="1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table" w:styleId="21">
    <w:name w:val="Table Grid"/>
    <w:basedOn w:val="2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  <w:bCs/>
      <w:color w:val="70AD47"/>
    </w:rPr>
  </w:style>
  <w:style w:type="character" w:styleId="24">
    <w:name w:val="FollowedHyperlink"/>
    <w:basedOn w:val="22"/>
    <w:qFormat/>
    <w:uiPriority w:val="99"/>
    <w:rPr>
      <w:color w:val="954F72"/>
      <w:u w:val="single"/>
    </w:rPr>
  </w:style>
  <w:style w:type="character" w:styleId="25">
    <w:name w:val="Emphasis"/>
    <w:qFormat/>
    <w:uiPriority w:val="20"/>
    <w:rPr>
      <w:b/>
      <w:bCs/>
      <w:i/>
      <w:iCs/>
      <w:spacing w:val="10"/>
    </w:rPr>
  </w:style>
  <w:style w:type="character" w:styleId="26">
    <w:name w:val="Hyperlink"/>
    <w:basedOn w:val="22"/>
    <w:qFormat/>
    <w:uiPriority w:val="99"/>
    <w:rPr>
      <w:color w:val="0563C1"/>
      <w:u w:val="single"/>
    </w:rPr>
  </w:style>
  <w:style w:type="character" w:customStyle="1" w:styleId="27">
    <w:name w:val="页眉 Char"/>
    <w:basedOn w:val="22"/>
    <w:link w:val="16"/>
    <w:qFormat/>
    <w:uiPriority w:val="99"/>
    <w:rPr>
      <w:sz w:val="18"/>
      <w:szCs w:val="18"/>
    </w:rPr>
  </w:style>
  <w:style w:type="character" w:customStyle="1" w:styleId="28">
    <w:name w:val="页脚 Char"/>
    <w:basedOn w:val="22"/>
    <w:link w:val="15"/>
    <w:qFormat/>
    <w:uiPriority w:val="99"/>
    <w:rPr>
      <w:sz w:val="18"/>
      <w:szCs w:val="18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标题 1 Char"/>
    <w:basedOn w:val="22"/>
    <w:link w:val="3"/>
    <w:qFormat/>
    <w:uiPriority w:val="9"/>
    <w:rPr>
      <w:smallCaps/>
      <w:spacing w:val="5"/>
      <w:sz w:val="32"/>
      <w:szCs w:val="32"/>
    </w:rPr>
  </w:style>
  <w:style w:type="character" w:customStyle="1" w:styleId="31">
    <w:name w:val="标题 2 Char"/>
    <w:basedOn w:val="22"/>
    <w:link w:val="4"/>
    <w:qFormat/>
    <w:uiPriority w:val="9"/>
    <w:rPr>
      <w:smallCaps/>
      <w:spacing w:val="5"/>
      <w:sz w:val="28"/>
      <w:szCs w:val="28"/>
    </w:rPr>
  </w:style>
  <w:style w:type="character" w:customStyle="1" w:styleId="32">
    <w:name w:val="标题 3 Char"/>
    <w:basedOn w:val="22"/>
    <w:link w:val="5"/>
    <w:qFormat/>
    <w:uiPriority w:val="9"/>
    <w:rPr>
      <w:smallCaps/>
      <w:spacing w:val="5"/>
      <w:sz w:val="24"/>
      <w:szCs w:val="24"/>
    </w:rPr>
  </w:style>
  <w:style w:type="character" w:customStyle="1" w:styleId="33">
    <w:name w:val="标题 4 Char"/>
    <w:basedOn w:val="22"/>
    <w:link w:val="6"/>
    <w:qFormat/>
    <w:uiPriority w:val="9"/>
    <w:rPr>
      <w:i/>
      <w:iCs/>
      <w:smallCaps/>
      <w:spacing w:val="10"/>
      <w:sz w:val="22"/>
      <w:szCs w:val="22"/>
    </w:rPr>
  </w:style>
  <w:style w:type="character" w:customStyle="1" w:styleId="34">
    <w:name w:val="标题 5 Char"/>
    <w:basedOn w:val="22"/>
    <w:link w:val="7"/>
    <w:qFormat/>
    <w:uiPriority w:val="9"/>
    <w:rPr>
      <w:smallCaps/>
      <w:color w:val="538135"/>
      <w:spacing w:val="10"/>
      <w:sz w:val="22"/>
      <w:szCs w:val="22"/>
    </w:rPr>
  </w:style>
  <w:style w:type="character" w:customStyle="1" w:styleId="35">
    <w:name w:val="标题 6 Char"/>
    <w:basedOn w:val="22"/>
    <w:link w:val="8"/>
    <w:qFormat/>
    <w:uiPriority w:val="9"/>
    <w:rPr>
      <w:smallCaps/>
      <w:color w:val="70AD47"/>
      <w:spacing w:val="5"/>
      <w:sz w:val="22"/>
      <w:szCs w:val="22"/>
    </w:rPr>
  </w:style>
  <w:style w:type="character" w:customStyle="1" w:styleId="36">
    <w:name w:val="标题 7 Char"/>
    <w:basedOn w:val="22"/>
    <w:link w:val="9"/>
    <w:qFormat/>
    <w:uiPriority w:val="9"/>
    <w:rPr>
      <w:b/>
      <w:bCs/>
      <w:smallCaps/>
      <w:color w:val="70AD47"/>
      <w:spacing w:val="10"/>
    </w:rPr>
  </w:style>
  <w:style w:type="character" w:customStyle="1" w:styleId="37">
    <w:name w:val="标题 8 Char"/>
    <w:basedOn w:val="22"/>
    <w:link w:val="10"/>
    <w:qFormat/>
    <w:uiPriority w:val="9"/>
    <w:rPr>
      <w:b/>
      <w:bCs/>
      <w:i/>
      <w:iCs/>
      <w:smallCaps/>
      <w:color w:val="538135"/>
    </w:rPr>
  </w:style>
  <w:style w:type="character" w:customStyle="1" w:styleId="38">
    <w:name w:val="标题 9 Char"/>
    <w:basedOn w:val="22"/>
    <w:link w:val="11"/>
    <w:qFormat/>
    <w:uiPriority w:val="9"/>
    <w:rPr>
      <w:b/>
      <w:bCs/>
      <w:i/>
      <w:iCs/>
      <w:smallCaps/>
      <w:color w:val="385623"/>
    </w:rPr>
  </w:style>
  <w:style w:type="character" w:customStyle="1" w:styleId="39">
    <w:name w:val="标题 Char"/>
    <w:basedOn w:val="22"/>
    <w:link w:val="19"/>
    <w:qFormat/>
    <w:uiPriority w:val="10"/>
    <w:rPr>
      <w:smallCaps/>
      <w:color w:val="262626"/>
      <w:sz w:val="52"/>
      <w:szCs w:val="52"/>
    </w:rPr>
  </w:style>
  <w:style w:type="character" w:customStyle="1" w:styleId="40">
    <w:name w:val="副标题 Char"/>
    <w:basedOn w:val="22"/>
    <w:link w:val="17"/>
    <w:qFormat/>
    <w:uiPriority w:val="11"/>
    <w:rPr>
      <w:rFonts w:ascii="等线 Light" w:hAnsi="等线 Light" w:eastAsia="等线 Light" w:cs="宋体"/>
    </w:rPr>
  </w:style>
  <w:style w:type="paragraph" w:customStyle="1" w:styleId="41">
    <w:name w:val="No Spacing"/>
    <w:link w:val="52"/>
    <w:qFormat/>
    <w:uiPriority w:val="1"/>
    <w:pPr>
      <w:jc w:val="both"/>
    </w:pPr>
    <w:rPr>
      <w:rFonts w:ascii="等线" w:hAnsi="等线" w:eastAsia="等线" w:cs="宋体"/>
      <w:lang w:val="en-US" w:eastAsia="zh-CN" w:bidi="ar-SA"/>
    </w:rPr>
  </w:style>
  <w:style w:type="paragraph" w:customStyle="1" w:styleId="42">
    <w:name w:val="Quote"/>
    <w:basedOn w:val="1"/>
    <w:next w:val="1"/>
    <w:link w:val="43"/>
    <w:qFormat/>
    <w:uiPriority w:val="29"/>
    <w:rPr>
      <w:i/>
      <w:iCs/>
    </w:rPr>
  </w:style>
  <w:style w:type="character" w:customStyle="1" w:styleId="43">
    <w:name w:val="引用 Char"/>
    <w:basedOn w:val="22"/>
    <w:link w:val="42"/>
    <w:qFormat/>
    <w:uiPriority w:val="29"/>
    <w:rPr>
      <w:i/>
      <w:iCs/>
    </w:rPr>
  </w:style>
  <w:style w:type="paragraph" w:customStyle="1" w:styleId="44">
    <w:name w:val="Intense Quote"/>
    <w:basedOn w:val="1"/>
    <w:next w:val="1"/>
    <w:link w:val="45"/>
    <w:qFormat/>
    <w:uiPriority w:val="30"/>
    <w:pPr>
      <w:pBdr>
        <w:top w:val="single" w:color="70AD47" w:sz="8" w:space="1"/>
      </w:pBdr>
      <w:spacing w:before="140" w:after="140"/>
      <w:ind w:left="1440" w:right="1440"/>
    </w:pPr>
    <w:rPr>
      <w:b/>
      <w:bCs/>
      <w:i/>
      <w:iCs/>
    </w:rPr>
  </w:style>
  <w:style w:type="character" w:customStyle="1" w:styleId="45">
    <w:name w:val="明显引用 Char"/>
    <w:basedOn w:val="22"/>
    <w:link w:val="44"/>
    <w:qFormat/>
    <w:uiPriority w:val="30"/>
    <w:rPr>
      <w:b/>
      <w:bCs/>
      <w:i/>
      <w:iCs/>
    </w:rPr>
  </w:style>
  <w:style w:type="character" w:customStyle="1" w:styleId="46">
    <w:name w:val="不明显强调1"/>
    <w:qFormat/>
    <w:uiPriority w:val="19"/>
    <w:rPr>
      <w:i/>
      <w:iCs/>
    </w:rPr>
  </w:style>
  <w:style w:type="character" w:customStyle="1" w:styleId="47">
    <w:name w:val="明显强调1"/>
    <w:qFormat/>
    <w:uiPriority w:val="21"/>
    <w:rPr>
      <w:b/>
      <w:bCs/>
      <w:i/>
      <w:iCs/>
      <w:color w:val="70AD47"/>
      <w:spacing w:val="10"/>
    </w:rPr>
  </w:style>
  <w:style w:type="character" w:customStyle="1" w:styleId="48">
    <w:name w:val="不明显参考1"/>
    <w:qFormat/>
    <w:uiPriority w:val="31"/>
    <w:rPr>
      <w:b/>
      <w:bCs/>
    </w:rPr>
  </w:style>
  <w:style w:type="character" w:customStyle="1" w:styleId="49">
    <w:name w:val="明显参考1"/>
    <w:qFormat/>
    <w:uiPriority w:val="32"/>
    <w:rPr>
      <w:b/>
      <w:bCs/>
      <w:smallCaps/>
      <w:spacing w:val="5"/>
      <w:sz w:val="22"/>
      <w:szCs w:val="22"/>
      <w:u w:val="single"/>
    </w:rPr>
  </w:style>
  <w:style w:type="character" w:customStyle="1" w:styleId="50">
    <w:name w:val="书籍标题1"/>
    <w:qFormat/>
    <w:uiPriority w:val="33"/>
    <w:rPr>
      <w:rFonts w:ascii="等线 Light" w:hAnsi="等线 Light" w:eastAsia="等线 Light" w:cs="宋体"/>
      <w:i/>
      <w:iCs/>
      <w:sz w:val="20"/>
      <w:szCs w:val="20"/>
    </w:rPr>
  </w:style>
  <w:style w:type="paragraph" w:customStyle="1" w:styleId="51">
    <w:name w:val="TOC 标题1"/>
    <w:basedOn w:val="3"/>
    <w:next w:val="1"/>
    <w:qFormat/>
    <w:uiPriority w:val="39"/>
    <w:pPr>
      <w:outlineLvl w:val="9"/>
    </w:pPr>
  </w:style>
  <w:style w:type="character" w:customStyle="1" w:styleId="52">
    <w:name w:val="无间隔 Char"/>
    <w:basedOn w:val="22"/>
    <w:link w:val="41"/>
    <w:qFormat/>
    <w:uiPriority w:val="1"/>
  </w:style>
  <w:style w:type="paragraph" w:customStyle="1" w:styleId="53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</w:pPr>
    <w:rPr>
      <w:kern w:val="2"/>
      <w:sz w:val="21"/>
      <w:szCs w:val="22"/>
    </w:rPr>
  </w:style>
  <w:style w:type="character" w:customStyle="1" w:styleId="54">
    <w:name w:val="批注框文本 Char"/>
    <w:basedOn w:val="22"/>
    <w:link w:val="14"/>
    <w:qFormat/>
    <w:uiPriority w:val="99"/>
    <w:rPr>
      <w:sz w:val="18"/>
      <w:szCs w:val="18"/>
    </w:rPr>
  </w:style>
  <w:style w:type="character" w:customStyle="1" w:styleId="55">
    <w:name w:val="未处理的提及1"/>
    <w:basedOn w:val="22"/>
    <w:qFormat/>
    <w:uiPriority w:val="99"/>
    <w:rPr>
      <w:color w:val="605E5C"/>
      <w:shd w:val="clear" w:color="auto" w:fill="E1DFDD"/>
    </w:rPr>
  </w:style>
  <w:style w:type="character" w:customStyle="1" w:styleId="56">
    <w:name w:val="日期 Char"/>
    <w:basedOn w:val="22"/>
    <w:link w:val="13"/>
    <w:qFormat/>
    <w:uiPriority w:val="99"/>
    <w:rPr>
      <w:rFonts w:ascii="等线" w:hAnsi="等线" w:eastAsia="等线" w:cs="宋体"/>
    </w:rPr>
  </w:style>
  <w:style w:type="character" w:customStyle="1" w:styleId="57">
    <w:name w:val="未处理的提及2"/>
    <w:basedOn w:val="22"/>
    <w:qFormat/>
    <w:uiPriority w:val="99"/>
    <w:rPr>
      <w:color w:val="605E5C"/>
      <w:shd w:val="clear" w:color="auto" w:fill="E1DFDD"/>
    </w:rPr>
  </w:style>
  <w:style w:type="paragraph" w:customStyle="1" w:styleId="58">
    <w:name w:val="Revision"/>
    <w:qFormat/>
    <w:uiPriority w:val="99"/>
    <w:rPr>
      <w:rFonts w:ascii="等线" w:hAnsi="等线" w:eastAsia="等线" w:cs="宋体"/>
      <w:lang w:val="en-US" w:eastAsia="zh-CN" w:bidi="ar-SA"/>
    </w:rPr>
  </w:style>
  <w:style w:type="character" w:customStyle="1" w:styleId="59">
    <w:name w:val="Unresolved Mention"/>
    <w:basedOn w:val="22"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font11"/>
    <w:basedOn w:val="2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customXml/itemProps3.xml><?xml version="1.0" encoding="utf-8"?>
<ds:datastoreItem xmlns:ds="http://schemas.openxmlformats.org/officeDocument/2006/customXml" ds:itemID="{05A61382-3966-46CA-B43B-10F7067DCB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3713</Words>
  <Characters>3914</Characters>
  <Lines>28</Lines>
  <Paragraphs>7</Paragraphs>
  <TotalTime>23</TotalTime>
  <ScaleCrop>false</ScaleCrop>
  <LinksUpToDate>false</LinksUpToDate>
  <CharactersWithSpaces>4193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2022-03-09T06:44:00Z</dcterms:created>
  <dc:creator>刘 子义</dc:creator>
  <cp:lastModifiedBy>Administrator</cp:lastModifiedBy>
  <cp:lastPrinted>2021-02-22T00:50:00Z</cp:lastPrinted>
  <dcterms:modified xsi:type="dcterms:W3CDTF">2023-06-08T01:00:03Z</dcterms:modified>
  <dc:subject>河北省工程建设信息智能化协会</dc:subject>
  <dc:title>河北省第三届建设工程“燕赵(善道)杯”BIM技术应用大赛方案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7F2DB8CBFF2247ED87AA4285B391D71E</vt:lpwstr>
  </property>
</Properties>
</file>